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6F" w:rsidRDefault="00A713E0" w:rsidP="00EC1D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7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713E0" w:rsidRPr="00B6576F" w:rsidRDefault="00A713E0" w:rsidP="00EC1D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76F">
        <w:rPr>
          <w:rFonts w:ascii="Times New Roman" w:hAnsi="Times New Roman" w:cs="Times New Roman"/>
          <w:b/>
          <w:sz w:val="28"/>
          <w:szCs w:val="28"/>
        </w:rPr>
        <w:t>к прогнозу социально-экономического развития</w:t>
      </w:r>
    </w:p>
    <w:p w:rsidR="00A713E0" w:rsidRPr="00B6576F" w:rsidRDefault="00A713E0" w:rsidP="00EC1DB2">
      <w:pPr>
        <w:tabs>
          <w:tab w:val="center" w:pos="4767"/>
          <w:tab w:val="left" w:pos="8517"/>
        </w:tabs>
        <w:spacing w:line="240" w:lineRule="auto"/>
        <w:rPr>
          <w:b/>
          <w:sz w:val="28"/>
          <w:szCs w:val="28"/>
        </w:rPr>
      </w:pPr>
      <w:r w:rsidRPr="00B6576F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B6576F">
        <w:rPr>
          <w:rFonts w:ascii="Times New Roman" w:hAnsi="Times New Roman" w:cs="Times New Roman"/>
          <w:b/>
          <w:sz w:val="28"/>
          <w:szCs w:val="28"/>
        </w:rPr>
        <w:t>Усть-Пристанкого</w:t>
      </w:r>
      <w:proofErr w:type="spellEnd"/>
      <w:r w:rsidRPr="00B6576F">
        <w:rPr>
          <w:rFonts w:ascii="Times New Roman" w:hAnsi="Times New Roman" w:cs="Times New Roman"/>
          <w:b/>
          <w:sz w:val="28"/>
          <w:szCs w:val="28"/>
        </w:rPr>
        <w:t xml:space="preserve"> района на   2022-2024 годы</w:t>
      </w:r>
      <w:r>
        <w:rPr>
          <w:b/>
          <w:sz w:val="28"/>
          <w:szCs w:val="28"/>
        </w:rPr>
        <w:tab/>
      </w:r>
    </w:p>
    <w:p w:rsidR="00A713E0" w:rsidRDefault="00A713E0" w:rsidP="00EC1DB2">
      <w:pPr>
        <w:pStyle w:val="2"/>
        <w:spacing w:line="240" w:lineRule="auto"/>
        <w:rPr>
          <w:b/>
          <w:sz w:val="28"/>
          <w:szCs w:val="28"/>
        </w:rPr>
      </w:pPr>
      <w:r>
        <w:t xml:space="preserve">            1. </w:t>
      </w:r>
      <w:r w:rsidRPr="00520CD9">
        <w:rPr>
          <w:b/>
          <w:sz w:val="28"/>
          <w:szCs w:val="28"/>
        </w:rPr>
        <w:t xml:space="preserve">Общая оценка социально-экономической ситуации в районе </w:t>
      </w:r>
    </w:p>
    <w:p w:rsidR="00A713E0" w:rsidRPr="00B6576F" w:rsidRDefault="00A713E0" w:rsidP="00EC1DB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</w:r>
      <w:r w:rsidRPr="00B6576F">
        <w:rPr>
          <w:color w:val="2D2D2D"/>
          <w:spacing w:val="2"/>
          <w:sz w:val="28"/>
          <w:szCs w:val="28"/>
        </w:rPr>
        <w:t xml:space="preserve">По итогам 2020 года социально-экономическое развитие </w:t>
      </w:r>
      <w:proofErr w:type="spellStart"/>
      <w:r w:rsidRPr="00B6576F">
        <w:rPr>
          <w:color w:val="2D2D2D"/>
          <w:spacing w:val="2"/>
          <w:sz w:val="28"/>
          <w:szCs w:val="28"/>
        </w:rPr>
        <w:t>Усть-Пристанского</w:t>
      </w:r>
      <w:proofErr w:type="spellEnd"/>
      <w:r w:rsidRPr="00B6576F">
        <w:rPr>
          <w:color w:val="2D2D2D"/>
          <w:spacing w:val="2"/>
          <w:sz w:val="28"/>
          <w:szCs w:val="28"/>
        </w:rPr>
        <w:t xml:space="preserve"> района  характеризуется неустойчивой  динамикой. </w:t>
      </w:r>
      <w:r w:rsidRPr="00B6576F">
        <w:rPr>
          <w:color w:val="2D2D2D"/>
          <w:spacing w:val="2"/>
          <w:sz w:val="28"/>
          <w:szCs w:val="28"/>
        </w:rPr>
        <w:br/>
        <w:t xml:space="preserve">Индекс промышленного производства составил 78%, индекс производства продукции сельского хозяйства составил 82,1%. Объем инвестиций в основной капитал в 2020 году в районе  составил 210 млн. рублей (по полному кругу), что выше уровня 2019года в </w:t>
      </w:r>
      <w:r w:rsidR="00F115FD" w:rsidRPr="00B6576F">
        <w:rPr>
          <w:color w:val="2D2D2D"/>
          <w:spacing w:val="2"/>
          <w:sz w:val="28"/>
          <w:szCs w:val="28"/>
        </w:rPr>
        <w:t xml:space="preserve">2 </w:t>
      </w:r>
      <w:r w:rsidRPr="00B6576F">
        <w:rPr>
          <w:color w:val="2D2D2D"/>
          <w:spacing w:val="2"/>
          <w:sz w:val="28"/>
          <w:szCs w:val="28"/>
        </w:rPr>
        <w:t xml:space="preserve">раза. Основной объем инвестиций традиционно приходится на сельское хозяйство - на обновление </w:t>
      </w:r>
      <w:proofErr w:type="spellStart"/>
      <w:proofErr w:type="gramStart"/>
      <w:r w:rsidRPr="00B6576F">
        <w:rPr>
          <w:color w:val="2D2D2D"/>
          <w:spacing w:val="2"/>
          <w:sz w:val="28"/>
          <w:szCs w:val="28"/>
        </w:rPr>
        <w:t>машино-тракторного</w:t>
      </w:r>
      <w:proofErr w:type="spellEnd"/>
      <w:proofErr w:type="gramEnd"/>
      <w:r w:rsidRPr="00B6576F">
        <w:rPr>
          <w:color w:val="2D2D2D"/>
          <w:spacing w:val="2"/>
          <w:sz w:val="28"/>
          <w:szCs w:val="28"/>
        </w:rPr>
        <w:t xml:space="preserve"> парка. Оборот розничной торговли по итогам 2020 года (</w:t>
      </w:r>
      <w:proofErr w:type="gramStart"/>
      <w:r w:rsidRPr="00B6576F">
        <w:rPr>
          <w:color w:val="2D2D2D"/>
          <w:spacing w:val="2"/>
          <w:sz w:val="28"/>
          <w:szCs w:val="28"/>
        </w:rPr>
        <w:t>по</w:t>
      </w:r>
      <w:proofErr w:type="gramEnd"/>
      <w:r w:rsidRPr="00B6576F">
        <w:rPr>
          <w:color w:val="2D2D2D"/>
          <w:spacing w:val="2"/>
          <w:sz w:val="28"/>
          <w:szCs w:val="28"/>
        </w:rPr>
        <w:t xml:space="preserve"> крупным и средним)  составил 302млн.  рублей, или 99%  к уровню 2019 года. Объем платных услуг, предоставленных населению, снизился и составил 59,7 млн. рублей. Основной причиной снижения производства по всем показателям являются ограничительные меры</w:t>
      </w:r>
      <w:proofErr w:type="gramStart"/>
      <w:r w:rsidRPr="00B6576F">
        <w:rPr>
          <w:color w:val="2D2D2D"/>
          <w:spacing w:val="2"/>
          <w:sz w:val="28"/>
          <w:szCs w:val="28"/>
        </w:rPr>
        <w:t xml:space="preserve"> ,</w:t>
      </w:r>
      <w:proofErr w:type="gramEnd"/>
      <w:r w:rsidRPr="00B6576F">
        <w:rPr>
          <w:color w:val="2D2D2D"/>
          <w:spacing w:val="2"/>
          <w:sz w:val="28"/>
          <w:szCs w:val="28"/>
        </w:rPr>
        <w:t xml:space="preserve"> связанные с пандемией.</w:t>
      </w:r>
      <w:r w:rsidRPr="00B6576F">
        <w:rPr>
          <w:color w:val="2D2D2D"/>
          <w:spacing w:val="2"/>
          <w:sz w:val="28"/>
          <w:szCs w:val="28"/>
        </w:rPr>
        <w:br/>
        <w:t>По итогам 2020 года среднемесячная  заработная плата по крупным и средним предприятиям  составила 24967,7  рублей, увеличившись на 104,5% относительно 2019 года.</w:t>
      </w:r>
    </w:p>
    <w:p w:rsidR="00EC1DB2" w:rsidRDefault="00A713E0" w:rsidP="00EC1D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   Привлечение федеральных и краевых ресурсов в рамках участия района в различных программах  позволило  подготовить объекты жилищно-коммунального комплекса к зиме, провести неотложные капитальные ремонты  котельных, отапливающих жилой фонд райцентра и  объекты  социальной сферы.   </w:t>
      </w:r>
    </w:p>
    <w:p w:rsidR="00A713E0" w:rsidRPr="00EC1DB2" w:rsidRDefault="00A713E0" w:rsidP="00EC1DB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kern w:val="32"/>
          <w:sz w:val="28"/>
          <w:szCs w:val="28"/>
        </w:rPr>
        <w:t xml:space="preserve">Несмотря на принимаемые меры по улучшению  качества жизни в районе  остаются проблемы, накопленные с постперестроечных лет – убыточное жилищно-коммунальное хозяйство, неудовлетворительное  качество автомобильных дорог, ветхость  объектов  водоснабжения. </w:t>
      </w:r>
    </w:p>
    <w:p w:rsidR="00A713E0" w:rsidRPr="00B6576F" w:rsidRDefault="00A713E0" w:rsidP="00EC1D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В экономике просматриваются  негативные  тенденции по сокращению численности, занятых в экономике; по сокращению  экономического потенциала  района из-за снижения численности действующих предприятий, способных увеличивать доходную базу бюджета.</w:t>
      </w:r>
    </w:p>
    <w:p w:rsidR="00A713E0" w:rsidRPr="00B6576F" w:rsidRDefault="00A713E0" w:rsidP="00A713E0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</w:p>
    <w:p w:rsidR="00A713E0" w:rsidRDefault="00A713E0" w:rsidP="00B6576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 w:rsidRPr="00B6576F">
        <w:rPr>
          <w:b/>
          <w:sz w:val="28"/>
          <w:szCs w:val="28"/>
        </w:rPr>
        <w:t>2.Демография</w:t>
      </w:r>
    </w:p>
    <w:p w:rsidR="00B6576F" w:rsidRPr="00B6576F" w:rsidRDefault="00B6576F" w:rsidP="00B6576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A713E0" w:rsidRPr="00B6576F" w:rsidRDefault="00A713E0" w:rsidP="00A713E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Среднегодовая численность постоянного населения в 2020  году составила 10584 человек и  снизилась на 192 человека (в 2019 году -10776 человек) за счет естественной убыли и выбытия за пределы района.  Показатель естественной убыли за 2020 </w:t>
      </w:r>
      <w:proofErr w:type="spellStart"/>
      <w:r w:rsidRPr="00B6576F">
        <w:rPr>
          <w:sz w:val="28"/>
          <w:szCs w:val="28"/>
        </w:rPr>
        <w:t>ковидный</w:t>
      </w:r>
      <w:proofErr w:type="spellEnd"/>
      <w:r w:rsidRPr="00B6576F">
        <w:rPr>
          <w:sz w:val="28"/>
          <w:szCs w:val="28"/>
        </w:rPr>
        <w:t xml:space="preserve"> год увеличился по сравнению с 2019 годом. За год район потерял 204 человека против 182 в </w:t>
      </w:r>
      <w:r w:rsidRPr="00B6576F">
        <w:rPr>
          <w:sz w:val="28"/>
          <w:szCs w:val="28"/>
        </w:rPr>
        <w:lastRenderedPageBreak/>
        <w:t xml:space="preserve">2019году. По данным статистики количество родившихся детей всего 49, на 25 детей родилось меньше, чем в прошлом году. </w:t>
      </w:r>
      <w:proofErr w:type="gramStart"/>
      <w:r w:rsidRPr="00B6576F">
        <w:rPr>
          <w:sz w:val="28"/>
          <w:szCs w:val="28"/>
        </w:rPr>
        <w:t>Это один из самых низких показателей за последние десятилетие.</w:t>
      </w:r>
      <w:proofErr w:type="gramEnd"/>
      <w:r w:rsidRPr="00B6576F">
        <w:rPr>
          <w:sz w:val="28"/>
          <w:szCs w:val="28"/>
        </w:rPr>
        <w:t xml:space="preserve"> Миграция составила -249 человек </w:t>
      </w:r>
    </w:p>
    <w:p w:rsidR="00A713E0" w:rsidRPr="00B6576F" w:rsidRDefault="00A713E0" w:rsidP="00A713E0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576F">
        <w:rPr>
          <w:sz w:val="28"/>
          <w:szCs w:val="28"/>
        </w:rPr>
        <w:t>Тенденция сокращения численности населения сохранится в ближайшее десятилетие</w:t>
      </w:r>
      <w:r w:rsidR="00F115FD" w:rsidRPr="00B6576F">
        <w:rPr>
          <w:sz w:val="28"/>
          <w:szCs w:val="28"/>
        </w:rPr>
        <w:t xml:space="preserve"> (включая прогнозный период)</w:t>
      </w:r>
      <w:r w:rsidRPr="00B6576F">
        <w:rPr>
          <w:sz w:val="28"/>
          <w:szCs w:val="28"/>
        </w:rPr>
        <w:t xml:space="preserve"> в районе из-за неблагоприятной динамики возрастной структуры населения, что будет выражаться в увеличении численности и удельного веса старших возрастных групп населения при одновременном сокращении населения трудоспособного возраста. Продолжиться</w:t>
      </w:r>
      <w:r w:rsidR="00F115FD" w:rsidRPr="00B6576F">
        <w:rPr>
          <w:sz w:val="28"/>
          <w:szCs w:val="28"/>
        </w:rPr>
        <w:t xml:space="preserve"> в 2022-2024гг </w:t>
      </w:r>
      <w:r w:rsidRPr="00B6576F">
        <w:rPr>
          <w:sz w:val="28"/>
          <w:szCs w:val="28"/>
        </w:rPr>
        <w:t xml:space="preserve"> миграционный отток молодежи в город, где больше возможностей реализовать себя и более комфортная среда для жизни.</w:t>
      </w:r>
    </w:p>
    <w:p w:rsidR="00A713E0" w:rsidRPr="00B6576F" w:rsidRDefault="00A713E0" w:rsidP="00A713E0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  Изменить тенденции смертности, рождаемости и миграции способны меры государственной политики, направленные на  репродуктивные планы населения, охрану здоровья, снижение смертности, рост продолжительности активной жизни и улучшение миграционной ситуации. Нивелировать негативный демографический эффект позволит:</w:t>
      </w:r>
    </w:p>
    <w:p w:rsidR="00A713E0" w:rsidRPr="00B6576F" w:rsidRDefault="00A713E0" w:rsidP="00A713E0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 xml:space="preserve">укрепление института семьи; </w:t>
      </w:r>
    </w:p>
    <w:p w:rsidR="00A713E0" w:rsidRPr="00B6576F" w:rsidRDefault="00A713E0" w:rsidP="00A713E0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создание экономических и социальных условий, мотивирующих на рождение детей и создание многодетных семей;</w:t>
      </w:r>
    </w:p>
    <w:p w:rsidR="00A713E0" w:rsidRPr="00B6576F" w:rsidRDefault="00A713E0" w:rsidP="00A713E0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обеспечение социальных гарантий.</w:t>
      </w:r>
    </w:p>
    <w:p w:rsidR="00A713E0" w:rsidRPr="00B6576F" w:rsidRDefault="00A713E0" w:rsidP="00A713E0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713E0" w:rsidRPr="00B6576F" w:rsidRDefault="00A713E0" w:rsidP="00A713E0">
      <w:pPr>
        <w:spacing w:after="240"/>
        <w:ind w:left="993"/>
        <w:jc w:val="center"/>
        <w:rPr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 xml:space="preserve">3.Труд и занятость  </w:t>
      </w:r>
    </w:p>
    <w:p w:rsidR="00A713E0" w:rsidRPr="00B6576F" w:rsidRDefault="00A713E0" w:rsidP="00A713E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Численность трудовых ресурсов  района продолжает сокращаться  и составляет 4950  человек или 46,7 % от  среднегодовой  численности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 xml:space="preserve"> </w:t>
      </w:r>
      <w:r w:rsidRPr="00B6576F">
        <w:rPr>
          <w:rFonts w:ascii="Times New Roman" w:hAnsi="Times New Roman" w:cs="Times New Roman"/>
          <w:color w:val="000000"/>
          <w:sz w:val="28"/>
          <w:szCs w:val="28"/>
        </w:rPr>
        <w:t xml:space="preserve">Уровень общей безработицы выше прошлого года и составил  5,3 %, на регистрационном учете в занятости  на 31 декабря 2020года состояло  257 безработных.  По селам  района регистрируемая безработица продолжает превышать районный, а также </w:t>
      </w:r>
      <w:proofErr w:type="spellStart"/>
      <w:r w:rsidRPr="00B6576F">
        <w:rPr>
          <w:rFonts w:ascii="Times New Roman" w:hAnsi="Times New Roman" w:cs="Times New Roman"/>
          <w:color w:val="000000"/>
          <w:sz w:val="28"/>
          <w:szCs w:val="28"/>
        </w:rPr>
        <w:t>среднекраевой</w:t>
      </w:r>
      <w:proofErr w:type="spellEnd"/>
      <w:r w:rsidRPr="00B6576F">
        <w:rPr>
          <w:rFonts w:ascii="Times New Roman" w:hAnsi="Times New Roman" w:cs="Times New Roman"/>
          <w:color w:val="000000"/>
          <w:sz w:val="28"/>
          <w:szCs w:val="28"/>
        </w:rPr>
        <w:t xml:space="preserve">  показатель в два и более раз. Причиной увеличения уровня регистрируемой безработицы является сокращение и процесс оптимизации в  организациях, снижения количества рабочих мест в районе.</w:t>
      </w:r>
    </w:p>
    <w:p w:rsidR="00A713E0" w:rsidRPr="00B6576F" w:rsidRDefault="00A713E0" w:rsidP="00A713E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576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6576F">
        <w:rPr>
          <w:rFonts w:ascii="Times New Roman" w:hAnsi="Times New Roman" w:cs="Times New Roman"/>
          <w:sz w:val="28"/>
          <w:szCs w:val="28"/>
        </w:rPr>
        <w:t xml:space="preserve">Ограничительные меры, принимаемые для недопущения распространения </w:t>
      </w:r>
      <w:proofErr w:type="spellStart"/>
      <w:r w:rsidRPr="00B6576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6576F">
        <w:rPr>
          <w:rFonts w:ascii="Times New Roman" w:hAnsi="Times New Roman" w:cs="Times New Roman"/>
          <w:sz w:val="28"/>
          <w:szCs w:val="28"/>
        </w:rPr>
        <w:t xml:space="preserve"> инфекции, негативно сказались на официальной занятости населения и в 2020 году обозначились следующие задачи, решение которых необходимо для нормального функционирования и развития рынка труда: - восстановление численности занятого населения до уровня 2019 года; - повышение реальных доходов граждан; - обеспечение экономики кадрами необходимой квалификации. Особое внимание будет  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>удалятся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 xml:space="preserve">  работе по снижению неформальной занятости. В 2020 году легализована занятость 203 работников и в 2021 году эта работа продолжена.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lastRenderedPageBreak/>
        <w:t xml:space="preserve">Исходя из анализа, ситуации в сфере труда и занятости </w:t>
      </w:r>
      <w:proofErr w:type="spellStart"/>
      <w:r w:rsidRPr="00B6576F">
        <w:rPr>
          <w:sz w:val="28"/>
          <w:szCs w:val="28"/>
        </w:rPr>
        <w:t>Усть-Пристанского</w:t>
      </w:r>
      <w:proofErr w:type="spellEnd"/>
      <w:r w:rsidRPr="00B6576F">
        <w:rPr>
          <w:sz w:val="28"/>
          <w:szCs w:val="28"/>
        </w:rPr>
        <w:t xml:space="preserve"> района и выявленных факторов благоприятной и неблагоприятной перспективы развития района разработаны мероприятия по приоритетности и с учетом поставленных задач. 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Перечень конкретных мероприятий утвержден  и направлен </w:t>
      </w:r>
      <w:proofErr w:type="gramStart"/>
      <w:r w:rsidRPr="00B6576F">
        <w:rPr>
          <w:sz w:val="28"/>
          <w:szCs w:val="28"/>
        </w:rPr>
        <w:t>на</w:t>
      </w:r>
      <w:proofErr w:type="gramEnd"/>
      <w:r w:rsidRPr="00B6576F">
        <w:rPr>
          <w:sz w:val="28"/>
          <w:szCs w:val="28"/>
        </w:rPr>
        <w:t>:</w:t>
      </w:r>
    </w:p>
    <w:p w:rsidR="00A713E0" w:rsidRPr="00B6576F" w:rsidRDefault="00A713E0" w:rsidP="00A713E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B6576F">
        <w:rPr>
          <w:sz w:val="28"/>
          <w:szCs w:val="28"/>
        </w:rPr>
        <w:t xml:space="preserve"> </w:t>
      </w:r>
      <w:proofErr w:type="gramStart"/>
      <w:r w:rsidRPr="00B6576F">
        <w:rPr>
          <w:sz w:val="28"/>
          <w:szCs w:val="28"/>
        </w:rPr>
        <w:t xml:space="preserve">- увеличение спроса на рабочую силу на рынке труда через создание новых рабочих мест в организациях района, развитие предпринимательства и </w:t>
      </w:r>
      <w:proofErr w:type="spellStart"/>
      <w:r w:rsidRPr="00B6576F">
        <w:rPr>
          <w:sz w:val="28"/>
          <w:szCs w:val="28"/>
        </w:rPr>
        <w:t>самозанятых</w:t>
      </w:r>
      <w:proofErr w:type="spellEnd"/>
      <w:r w:rsidRPr="00B6576F">
        <w:rPr>
          <w:sz w:val="28"/>
          <w:szCs w:val="28"/>
        </w:rPr>
        <w:t xml:space="preserve"> граждан, организацию временной занятости безработных и ищущих работу граждан, а также оказание содействия занятости несовершеннолетних граждан; - оптимизация предложения рабочей силы на рынке труда через обеспечение организаций рабочими и специалистами требуемых профессий и квалификаций, повышение престижа труда на производстве;</w:t>
      </w:r>
      <w:proofErr w:type="gramEnd"/>
      <w:r w:rsidRPr="00B6576F">
        <w:rPr>
          <w:sz w:val="28"/>
          <w:szCs w:val="28"/>
        </w:rPr>
        <w:t xml:space="preserve"> - обеспечение сбалансированности спроса и предложения рабочей силы на рынке труда через формирование единых баз данных</w:t>
      </w:r>
      <w:proofErr w:type="gramStart"/>
      <w:r w:rsidRPr="00B6576F">
        <w:rPr>
          <w:color w:val="2D2D2D"/>
          <w:spacing w:val="2"/>
          <w:sz w:val="28"/>
          <w:szCs w:val="28"/>
        </w:rPr>
        <w:t xml:space="preserve"> .</w:t>
      </w:r>
      <w:proofErr w:type="gramEnd"/>
    </w:p>
    <w:p w:rsidR="00A713E0" w:rsidRDefault="00A713E0" w:rsidP="00B6576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B6576F">
        <w:rPr>
          <w:color w:val="2D2D2D"/>
          <w:spacing w:val="2"/>
          <w:sz w:val="28"/>
          <w:szCs w:val="28"/>
        </w:rPr>
        <w:t xml:space="preserve">   В прогнозном периоде ситуация на рынке труда будет определяться  демографическими тенденциями и развитием экономики района, продолжится сокращение численности занятых в социальной сфере на фоне продолжающихся процессов оптимизации  учреждений образования и культуры, а также в экономике. </w:t>
      </w:r>
      <w:r w:rsidR="00F115FD" w:rsidRPr="00B6576F">
        <w:rPr>
          <w:color w:val="2D2D2D"/>
          <w:spacing w:val="2"/>
          <w:sz w:val="28"/>
          <w:szCs w:val="28"/>
        </w:rPr>
        <w:t xml:space="preserve"> По оценке к концу 2021года произойдет сокращение занятых в экономике на 58 человек по всем отраслям и к концу 2024года численность занятых в экономике снизится с 4080чел. (2020год) до 3670 чел. (2024год)</w:t>
      </w:r>
    </w:p>
    <w:p w:rsidR="00B6576F" w:rsidRPr="00B6576F" w:rsidRDefault="00B6576F" w:rsidP="00B6576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A713E0" w:rsidRPr="00B6576F" w:rsidRDefault="00A713E0" w:rsidP="00A713E0">
      <w:pPr>
        <w:spacing w:after="240"/>
        <w:ind w:left="993"/>
        <w:jc w:val="center"/>
        <w:rPr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>4.Промышленное производство</w:t>
      </w:r>
    </w:p>
    <w:p w:rsidR="00F115FD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  Район располагает недостаточно развитым промышленным потенциалом. Основу промышленности  района составляют 18 малых предприятий. В структуре производства промышленной продукции за последние годы произошли изменения.  Если в 2008году  основную долю  занимало производство пищевых продуктов  до 46 %, то в  2020 году доля пищевой снизилась до 18 % и основную долю занимает  производство и распределение воды и  </w:t>
      </w:r>
      <w:proofErr w:type="spellStart"/>
      <w:r w:rsidRPr="00B6576F">
        <w:rPr>
          <w:sz w:val="28"/>
          <w:szCs w:val="28"/>
        </w:rPr>
        <w:t>теплоэнергии</w:t>
      </w:r>
      <w:proofErr w:type="spellEnd"/>
      <w:r w:rsidRPr="00B6576F">
        <w:rPr>
          <w:sz w:val="28"/>
          <w:szCs w:val="28"/>
        </w:rPr>
        <w:t xml:space="preserve"> – 43 %. Объем выпуска в 2020 году промышленной продукции  - 80,6 млн. </w:t>
      </w:r>
      <w:proofErr w:type="spellStart"/>
      <w:r w:rsidRPr="00B6576F">
        <w:rPr>
          <w:sz w:val="28"/>
          <w:szCs w:val="28"/>
        </w:rPr>
        <w:t>руб</w:t>
      </w:r>
      <w:proofErr w:type="spellEnd"/>
      <w:r w:rsidRPr="00B6576F">
        <w:rPr>
          <w:sz w:val="28"/>
          <w:szCs w:val="28"/>
        </w:rPr>
        <w:t xml:space="preserve">, за 10 лет  объем выпуска сократился </w:t>
      </w:r>
      <w:proofErr w:type="gramStart"/>
      <w:r w:rsidRPr="00B6576F">
        <w:rPr>
          <w:sz w:val="28"/>
          <w:szCs w:val="28"/>
        </w:rPr>
        <w:t>в</w:t>
      </w:r>
      <w:proofErr w:type="gramEnd"/>
      <w:r w:rsidRPr="00B6576F">
        <w:rPr>
          <w:sz w:val="28"/>
          <w:szCs w:val="28"/>
        </w:rPr>
        <w:t xml:space="preserve"> 3 раза. Индекс промышленного производства составил 78%. Основные виды </w:t>
      </w:r>
      <w:proofErr w:type="gramStart"/>
      <w:r w:rsidRPr="00B6576F">
        <w:rPr>
          <w:sz w:val="28"/>
          <w:szCs w:val="28"/>
        </w:rPr>
        <w:t>продукции</w:t>
      </w:r>
      <w:proofErr w:type="gramEnd"/>
      <w:r w:rsidRPr="00B6576F">
        <w:rPr>
          <w:sz w:val="28"/>
          <w:szCs w:val="28"/>
        </w:rPr>
        <w:t xml:space="preserve"> выпускаемые сельскими потребительскими обществами (Центральное сельпо, </w:t>
      </w:r>
      <w:proofErr w:type="spellStart"/>
      <w:r w:rsidRPr="00B6576F">
        <w:rPr>
          <w:sz w:val="28"/>
          <w:szCs w:val="28"/>
        </w:rPr>
        <w:t>Усть-Пристанское</w:t>
      </w:r>
      <w:proofErr w:type="spellEnd"/>
      <w:r w:rsidRPr="00B6576F">
        <w:rPr>
          <w:sz w:val="28"/>
          <w:szCs w:val="28"/>
        </w:rPr>
        <w:t xml:space="preserve"> сельпо, СПО Цент плюс): хлеб и хлебобулочные изделия, кондитерские, рыбные  и мясные полуфабрикаты ориентированы на внутреннее потребление района.   </w:t>
      </w:r>
    </w:p>
    <w:p w:rsidR="00A713E0" w:rsidRPr="00B6576F" w:rsidRDefault="00F115FD" w:rsidP="00F115FD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В целом объем отгруженных товаров в 2021 году ожидается на уровне 72547,3 тыс. рублей или  индекс промышленного производства составит 81,4%. Падение по хлебобулочным и кондитерским изделиям, а также по лесоматериалам. </w:t>
      </w:r>
      <w:r w:rsidR="00A713E0" w:rsidRPr="00B6576F">
        <w:rPr>
          <w:sz w:val="28"/>
          <w:szCs w:val="28"/>
        </w:rPr>
        <w:t xml:space="preserve">  </w:t>
      </w:r>
      <w:r w:rsidRPr="00B6576F">
        <w:rPr>
          <w:sz w:val="28"/>
          <w:szCs w:val="28"/>
        </w:rPr>
        <w:t xml:space="preserve">Заготовка и вывоз древесины предполагает сохранение   </w:t>
      </w:r>
      <w:r w:rsidRPr="00B6576F">
        <w:rPr>
          <w:sz w:val="28"/>
          <w:szCs w:val="28"/>
        </w:rPr>
        <w:lastRenderedPageBreak/>
        <w:t>объемов  в предстоящий 3-летний период. Рост прогнозируется на выпуске колбасных изделий (ИП Лютикова И.В.), за счет расширения рынка сбыта и ассортимента продукции. В целом по району планируется сохранить объемы отгруженных товаров собственного производства</w:t>
      </w:r>
      <w:proofErr w:type="gramStart"/>
      <w:r w:rsidRPr="00B6576F">
        <w:rPr>
          <w:sz w:val="28"/>
          <w:szCs w:val="28"/>
        </w:rPr>
        <w:t xml:space="preserve"> .</w:t>
      </w:r>
      <w:proofErr w:type="gramEnd"/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Сфера промышленного производства характеризуется неустойчивыми темпами, с преобладанием отрицательной динамики, что обусловлено воздействием ряда негативных факторов. Финансовое состояние предприятий обрабатывающего сектора района можно охарактеризовать как нестабильное, большинство из них работают с убытком. Предприятие по производству </w:t>
      </w:r>
      <w:proofErr w:type="spellStart"/>
      <w:r w:rsidRPr="00B6576F">
        <w:rPr>
          <w:sz w:val="28"/>
          <w:szCs w:val="28"/>
        </w:rPr>
        <w:t>теплоэнергии</w:t>
      </w:r>
      <w:proofErr w:type="spellEnd"/>
      <w:r w:rsidRPr="00B6576F">
        <w:rPr>
          <w:sz w:val="28"/>
          <w:szCs w:val="28"/>
        </w:rPr>
        <w:t xml:space="preserve"> и воды из года в год получает убытки, что не позволяет развиваться.</w:t>
      </w:r>
    </w:p>
    <w:p w:rsidR="00A713E0" w:rsidRPr="00B6576F" w:rsidRDefault="00A713E0" w:rsidP="00B6576F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В предстоящий 3-х-летний период необходимо решить следующие задачи по формированию экономических условий, обеспечивающих эффективное развитие промышленных предприятий, внедрение новых технологий, повышающих конкурентоспособность продукции, на улучшение качества, расширение ассортимента и освоение новых видов выпускаемой продукции в соответствии с потребительским спросом различных групп населения. </w:t>
      </w:r>
    </w:p>
    <w:p w:rsidR="00A713E0" w:rsidRPr="00B6576F" w:rsidRDefault="00A713E0" w:rsidP="00B6576F">
      <w:pPr>
        <w:ind w:left="3828"/>
        <w:rPr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 xml:space="preserve">5.Сельское хозяйство </w:t>
      </w:r>
    </w:p>
    <w:p w:rsidR="00A713E0" w:rsidRPr="00B6576F" w:rsidRDefault="00A713E0" w:rsidP="00A713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Сельское хозяйство наиболее значимая отрасль района.  Основной специализацией хозяйств района является производство продукции растениеводства, а именно зерновых культур.</w:t>
      </w:r>
    </w:p>
    <w:p w:rsidR="00A713E0" w:rsidRPr="00B6576F" w:rsidRDefault="00A713E0" w:rsidP="00A713E0">
      <w:pPr>
        <w:pStyle w:val="a9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B6576F">
        <w:rPr>
          <w:rFonts w:ascii="Times New Roman" w:hAnsi="Times New Roman"/>
          <w:sz w:val="28"/>
          <w:szCs w:val="28"/>
        </w:rPr>
        <w:t>Агроресурсный</w:t>
      </w:r>
      <w:proofErr w:type="spellEnd"/>
      <w:r w:rsidRPr="00B6576F">
        <w:rPr>
          <w:rFonts w:ascii="Times New Roman" w:hAnsi="Times New Roman"/>
          <w:sz w:val="28"/>
          <w:szCs w:val="28"/>
        </w:rPr>
        <w:t xml:space="preserve"> потенциал района достаточно высок: доля обрабатываемой пашни на протяжении последних лет сохраняется на уровне 95%,  что составляет 90,1 тыс. га.  Объем  продукции сельского хозяйства в хозяйствах всех категорий  превысил 1490 млн. рублей. </w:t>
      </w:r>
    </w:p>
    <w:p w:rsidR="00A713E0" w:rsidRPr="00B6576F" w:rsidRDefault="00A713E0" w:rsidP="00A713E0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Основными культурами в районе являются зернобобовые – в первую очередь, высококачественная пшеница</w:t>
      </w:r>
      <w:proofErr w:type="gramStart"/>
      <w:r w:rsidRPr="00B6576F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B6576F">
        <w:rPr>
          <w:rFonts w:ascii="Times New Roman" w:hAnsi="Times New Roman"/>
          <w:sz w:val="28"/>
          <w:szCs w:val="28"/>
        </w:rPr>
        <w:t xml:space="preserve"> Сев яровых сельскохозяйственных культур в хозяйствах всех категорий составляют 76 тыс. га., гречихи -14тыс.га. Также растениеводство ориентировано на возделывание масличных культур и заготовку кормов для животноводческой отрасли. Среди кормовых культур преобладают посевы многолетних трав, используемые на сено, зеленый корм. По итогам 2020 года урожайность зерновых и зернобобовых культур составила 11,1 </w:t>
      </w:r>
      <w:proofErr w:type="spellStart"/>
      <w:r w:rsidRPr="00B6576F">
        <w:rPr>
          <w:rFonts w:ascii="Times New Roman" w:hAnsi="Times New Roman"/>
          <w:sz w:val="28"/>
          <w:szCs w:val="28"/>
        </w:rPr>
        <w:t>ц</w:t>
      </w:r>
      <w:proofErr w:type="spellEnd"/>
      <w:r w:rsidRPr="00B6576F">
        <w:rPr>
          <w:rFonts w:ascii="Times New Roman" w:hAnsi="Times New Roman"/>
          <w:sz w:val="28"/>
          <w:szCs w:val="28"/>
        </w:rPr>
        <w:t xml:space="preserve">/га в бункерном весе, на 5,4 </w:t>
      </w:r>
      <w:proofErr w:type="spellStart"/>
      <w:r w:rsidRPr="00B6576F">
        <w:rPr>
          <w:rFonts w:ascii="Times New Roman" w:hAnsi="Times New Roman"/>
          <w:sz w:val="28"/>
          <w:szCs w:val="28"/>
        </w:rPr>
        <w:t>ц</w:t>
      </w:r>
      <w:proofErr w:type="spellEnd"/>
      <w:r w:rsidRPr="00B6576F">
        <w:rPr>
          <w:rFonts w:ascii="Times New Roman" w:hAnsi="Times New Roman"/>
          <w:sz w:val="28"/>
          <w:szCs w:val="28"/>
        </w:rPr>
        <w:t xml:space="preserve">/га ниже уровня 2019года. За период с 2014 по 2020 год уменьшилась посевная площадь овса, подсолнечника, пшеницы, а увеличилась площадь по культурам: ячмень,  гречиха, соя, однолетние травы. </w:t>
      </w:r>
    </w:p>
    <w:p w:rsidR="00A713E0" w:rsidRPr="00B6576F" w:rsidRDefault="00A713E0" w:rsidP="00A713E0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В животноводстве произошло снижение поголовья КРС в коллективных и крестьянско-фермерских хозяйствах на 423 голов по сравнению с 2019 годом. Снижение произошло в связи с закрытием фермы ИП КФХ «</w:t>
      </w:r>
      <w:proofErr w:type="spellStart"/>
      <w:r w:rsidRPr="00B6576F">
        <w:rPr>
          <w:rFonts w:ascii="Times New Roman" w:hAnsi="Times New Roman"/>
          <w:sz w:val="28"/>
          <w:szCs w:val="28"/>
        </w:rPr>
        <w:t>Жилякова</w:t>
      </w:r>
      <w:proofErr w:type="spellEnd"/>
      <w:r w:rsidRPr="00B6576F">
        <w:rPr>
          <w:rFonts w:ascii="Times New Roman" w:hAnsi="Times New Roman"/>
          <w:sz w:val="28"/>
          <w:szCs w:val="28"/>
        </w:rPr>
        <w:t xml:space="preserve"> А.П.»  </w:t>
      </w:r>
    </w:p>
    <w:p w:rsidR="00A713E0" w:rsidRPr="00B6576F" w:rsidRDefault="00F115FD" w:rsidP="00A713E0">
      <w:pPr>
        <w:pStyle w:val="a6"/>
        <w:spacing w:before="0" w:beforeAutospacing="0" w:after="0" w:afterAutospacing="0" w:line="276" w:lineRule="auto"/>
        <w:ind w:firstLine="567"/>
        <w:jc w:val="both"/>
        <w:rPr>
          <w:strike/>
          <w:sz w:val="28"/>
          <w:szCs w:val="28"/>
        </w:rPr>
      </w:pPr>
      <w:proofErr w:type="gramStart"/>
      <w:r w:rsidRPr="00B6576F">
        <w:rPr>
          <w:sz w:val="28"/>
          <w:szCs w:val="28"/>
        </w:rPr>
        <w:lastRenderedPageBreak/>
        <w:t xml:space="preserve">За 2020 год </w:t>
      </w:r>
      <w:r w:rsidR="00A713E0" w:rsidRPr="00B6576F">
        <w:rPr>
          <w:sz w:val="28"/>
          <w:szCs w:val="28"/>
        </w:rPr>
        <w:t xml:space="preserve">хозяйствами района потрачено на обновление парка сельскохозяйственной техники более 164 миллионов рублей.. Самым крупным хозяйством района является хозяйство ООО «КХ </w:t>
      </w:r>
      <w:proofErr w:type="spellStart"/>
      <w:r w:rsidR="00A713E0" w:rsidRPr="00B6576F">
        <w:rPr>
          <w:sz w:val="28"/>
          <w:szCs w:val="28"/>
        </w:rPr>
        <w:t>Апасова</w:t>
      </w:r>
      <w:proofErr w:type="spellEnd"/>
      <w:r w:rsidR="00A713E0" w:rsidRPr="00B6576F">
        <w:rPr>
          <w:sz w:val="28"/>
          <w:szCs w:val="28"/>
        </w:rPr>
        <w:t xml:space="preserve"> Н.И.» Доля обрабатываемой пашни хозяйством составляет более 19 000 га, это пятая часть всей обрабатываемой пашни района.</w:t>
      </w:r>
      <w:r w:rsidR="00A713E0" w:rsidRPr="00B6576F">
        <w:rPr>
          <w:strike/>
          <w:sz w:val="28"/>
          <w:szCs w:val="28"/>
        </w:rPr>
        <w:t>.</w:t>
      </w:r>
      <w:r w:rsidR="00A713E0" w:rsidRPr="00B6576F">
        <w:rPr>
          <w:sz w:val="28"/>
          <w:szCs w:val="28"/>
        </w:rPr>
        <w:t xml:space="preserve"> Благодаря мерам господдержки сельского хозяйства </w:t>
      </w:r>
      <w:proofErr w:type="spellStart"/>
      <w:r w:rsidR="00A713E0" w:rsidRPr="00B6576F">
        <w:rPr>
          <w:sz w:val="28"/>
          <w:szCs w:val="28"/>
        </w:rPr>
        <w:t>сельхозтоваропроизводители</w:t>
      </w:r>
      <w:proofErr w:type="spellEnd"/>
      <w:r w:rsidR="00A713E0" w:rsidRPr="00B6576F">
        <w:rPr>
          <w:sz w:val="28"/>
          <w:szCs w:val="28"/>
        </w:rPr>
        <w:t xml:space="preserve"> района получили 9,4 млн. рублей субсидии. </w:t>
      </w:r>
      <w:proofErr w:type="gramEnd"/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  Приоритетной задачей на сегодняшний день по-прежнему остается обеспечение сохранности поголовья крупного рогатого скота, в том числе коров и роста объемов производства продукции сельского хозяйства. Это – дальнейшая перспектива развития района. 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  Основными направлениями развития отрасли должны стать: </w:t>
      </w:r>
      <w:proofErr w:type="gramStart"/>
      <w:r w:rsidRPr="00B6576F">
        <w:rPr>
          <w:sz w:val="28"/>
          <w:szCs w:val="28"/>
        </w:rPr>
        <w:t>-с</w:t>
      </w:r>
      <w:proofErr w:type="gramEnd"/>
      <w:r w:rsidRPr="00B6576F">
        <w:rPr>
          <w:sz w:val="28"/>
          <w:szCs w:val="28"/>
        </w:rPr>
        <w:t xml:space="preserve">оздание стабильной кормовой и высококачественной кормовой базы, организация сбалансированного кормления скота. -наращивание поголовья скота всех видов; -технологическое переоснащение животноводства новой эффективной техникой; -реконструкция имеющихся животноводческих помещений, привлечение долгосрочных льготных кредитов на эти цели; -дальнейшее расширение искусственного осеменения коров и телок с целью получения высокопродуктивного потомства, в том числе и в хозяйствах населения; -подготовка и переподготовка для животноводства специалистов всех уровней (массовых профессий, среднего и высшего звена) а также закрепления их на селе. 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   Таким образом, необходимо применить комплекс мер по дальнейшему восстановлению животноводства на территории нашего района, как за счет увеличения поголовья на существующих животноводческих комплексах, так и за счет расширения круга хозяйств, занимающихся животноводством. </w:t>
      </w:r>
    </w:p>
    <w:p w:rsidR="00A713E0" w:rsidRDefault="00F115FD" w:rsidP="00B6576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ab/>
        <w:t xml:space="preserve"> В прогнозируемом периоде ожидается увеличение производства продукции растениеводства за счет увеличения  урожайности зерновых культур</w:t>
      </w:r>
      <w:proofErr w:type="gramStart"/>
      <w:r w:rsidRPr="00B6576F">
        <w:rPr>
          <w:sz w:val="28"/>
          <w:szCs w:val="28"/>
        </w:rPr>
        <w:t xml:space="preserve"> ,</w:t>
      </w:r>
      <w:proofErr w:type="gramEnd"/>
      <w:r w:rsidRPr="00B6576F">
        <w:rPr>
          <w:sz w:val="28"/>
          <w:szCs w:val="28"/>
        </w:rPr>
        <w:t xml:space="preserve"> по продукции животноводства прогнозируется сохранение  объемов на уровне 2021года</w:t>
      </w:r>
    </w:p>
    <w:p w:rsidR="00B6576F" w:rsidRPr="00B6576F" w:rsidRDefault="00B6576F" w:rsidP="00B6576F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713E0" w:rsidRPr="00B6576F" w:rsidRDefault="00A713E0" w:rsidP="00EC1DB2">
      <w:pPr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>Инвестиции  и строительство</w:t>
      </w:r>
    </w:p>
    <w:p w:rsidR="00F115FD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В 2020 году на территории района осуществлялась реализация трех бюджетных проектов</w:t>
      </w:r>
      <w:r w:rsidR="00F115FD" w:rsidRPr="00B6576F">
        <w:rPr>
          <w:sz w:val="28"/>
          <w:szCs w:val="28"/>
        </w:rPr>
        <w:t>:</w:t>
      </w:r>
      <w:r w:rsidRPr="00B6576F">
        <w:rPr>
          <w:sz w:val="28"/>
          <w:szCs w:val="28"/>
        </w:rPr>
        <w:t xml:space="preserve"> </w:t>
      </w:r>
      <w:r w:rsidR="00F115FD" w:rsidRPr="00B6576F">
        <w:rPr>
          <w:sz w:val="28"/>
          <w:szCs w:val="28"/>
        </w:rPr>
        <w:t>капитальный ремонт  здания  –</w:t>
      </w:r>
      <w:proofErr w:type="gramStart"/>
      <w:r w:rsidR="00F115FD" w:rsidRPr="00B6576F">
        <w:rPr>
          <w:sz w:val="28"/>
          <w:szCs w:val="28"/>
        </w:rPr>
        <w:t>«</w:t>
      </w:r>
      <w:proofErr w:type="spellStart"/>
      <w:r w:rsidR="00F115FD" w:rsidRPr="00B6576F">
        <w:rPr>
          <w:sz w:val="28"/>
          <w:szCs w:val="28"/>
        </w:rPr>
        <w:t>Н</w:t>
      </w:r>
      <w:proofErr w:type="gramEnd"/>
      <w:r w:rsidR="00F115FD" w:rsidRPr="00B6576F">
        <w:rPr>
          <w:sz w:val="28"/>
          <w:szCs w:val="28"/>
        </w:rPr>
        <w:t>ижнеозернинской</w:t>
      </w:r>
      <w:proofErr w:type="spellEnd"/>
      <w:r w:rsidR="00F115FD" w:rsidRPr="00B6576F">
        <w:rPr>
          <w:sz w:val="28"/>
          <w:szCs w:val="28"/>
        </w:rPr>
        <w:t xml:space="preserve"> СОШ», </w:t>
      </w:r>
      <w:r w:rsidRPr="00B6576F">
        <w:rPr>
          <w:sz w:val="28"/>
          <w:szCs w:val="28"/>
        </w:rPr>
        <w:t xml:space="preserve">  устройство новой шатровой крыши в МКОУ «</w:t>
      </w:r>
      <w:proofErr w:type="spellStart"/>
      <w:r w:rsidRPr="00B6576F">
        <w:rPr>
          <w:sz w:val="28"/>
          <w:szCs w:val="28"/>
        </w:rPr>
        <w:t>Елбанская</w:t>
      </w:r>
      <w:proofErr w:type="spellEnd"/>
      <w:r w:rsidRPr="00B6576F">
        <w:rPr>
          <w:sz w:val="28"/>
          <w:szCs w:val="28"/>
        </w:rPr>
        <w:t xml:space="preserve"> СОШ» </w:t>
      </w:r>
      <w:r w:rsidR="00F115FD" w:rsidRPr="00B6576F">
        <w:rPr>
          <w:sz w:val="28"/>
          <w:szCs w:val="28"/>
        </w:rPr>
        <w:t xml:space="preserve">и капитальный ремонт </w:t>
      </w:r>
      <w:r w:rsidRPr="00B6576F">
        <w:rPr>
          <w:sz w:val="28"/>
          <w:szCs w:val="28"/>
        </w:rPr>
        <w:t xml:space="preserve">здания </w:t>
      </w:r>
      <w:proofErr w:type="spellStart"/>
      <w:r w:rsidRPr="00B6576F">
        <w:rPr>
          <w:sz w:val="28"/>
          <w:szCs w:val="28"/>
        </w:rPr>
        <w:t>Усть-Пристанской</w:t>
      </w:r>
      <w:proofErr w:type="spellEnd"/>
      <w:r w:rsidRPr="00B6576F">
        <w:rPr>
          <w:sz w:val="28"/>
          <w:szCs w:val="28"/>
        </w:rPr>
        <w:t xml:space="preserve"> центральной </w:t>
      </w:r>
      <w:proofErr w:type="spellStart"/>
      <w:r w:rsidRPr="00B6576F">
        <w:rPr>
          <w:sz w:val="28"/>
          <w:szCs w:val="28"/>
        </w:rPr>
        <w:t>межпоселенческой</w:t>
      </w:r>
      <w:proofErr w:type="spellEnd"/>
      <w:r w:rsidRPr="00B6576F">
        <w:rPr>
          <w:sz w:val="28"/>
          <w:szCs w:val="28"/>
        </w:rPr>
        <w:t xml:space="preserve"> библиотеки. </w:t>
      </w:r>
    </w:p>
    <w:p w:rsidR="00A713E0" w:rsidRPr="00B6576F" w:rsidRDefault="00A713E0" w:rsidP="00F115FD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lastRenderedPageBreak/>
        <w:t xml:space="preserve">На территории района реализовывались два внебюджетных проекта: Строительство гаража (стоянка для хранения техники) в КФХ Труфанова А.А. стоимостью 6 млн. рублей и строительство </w:t>
      </w:r>
      <w:proofErr w:type="spellStart"/>
      <w:r w:rsidRPr="00B6576F">
        <w:rPr>
          <w:sz w:val="28"/>
          <w:szCs w:val="28"/>
        </w:rPr>
        <w:t>мехтока</w:t>
      </w:r>
      <w:proofErr w:type="spellEnd"/>
      <w:r w:rsidRPr="00B6576F">
        <w:rPr>
          <w:sz w:val="28"/>
          <w:szCs w:val="28"/>
        </w:rPr>
        <w:t xml:space="preserve"> и зерносушилки в КФХ </w:t>
      </w:r>
      <w:proofErr w:type="spellStart"/>
      <w:r w:rsidRPr="00B6576F">
        <w:rPr>
          <w:sz w:val="28"/>
          <w:szCs w:val="28"/>
        </w:rPr>
        <w:t>Апасова</w:t>
      </w:r>
      <w:proofErr w:type="spellEnd"/>
      <w:r w:rsidRPr="00B6576F">
        <w:rPr>
          <w:sz w:val="28"/>
          <w:szCs w:val="28"/>
        </w:rPr>
        <w:t xml:space="preserve"> Н.И. стоимостью 40 млн. рублей 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В прогнозируемом периоде  планируется привлечение бюджетных средств на капитальный ремонт школ в </w:t>
      </w:r>
      <w:proofErr w:type="spellStart"/>
      <w:r w:rsidRPr="00B6576F">
        <w:rPr>
          <w:sz w:val="28"/>
          <w:szCs w:val="28"/>
        </w:rPr>
        <w:t>с</w:t>
      </w:r>
      <w:proofErr w:type="gramStart"/>
      <w:r w:rsidRPr="00B6576F">
        <w:rPr>
          <w:sz w:val="28"/>
          <w:szCs w:val="28"/>
        </w:rPr>
        <w:t>.Е</w:t>
      </w:r>
      <w:proofErr w:type="gramEnd"/>
      <w:r w:rsidRPr="00B6576F">
        <w:rPr>
          <w:sz w:val="28"/>
          <w:szCs w:val="28"/>
        </w:rPr>
        <w:t>лбанка</w:t>
      </w:r>
      <w:proofErr w:type="spellEnd"/>
      <w:r w:rsidRPr="00B6576F">
        <w:rPr>
          <w:sz w:val="28"/>
          <w:szCs w:val="28"/>
        </w:rPr>
        <w:t xml:space="preserve">  и </w:t>
      </w:r>
      <w:proofErr w:type="spellStart"/>
      <w:r w:rsidRPr="00B6576F">
        <w:rPr>
          <w:sz w:val="28"/>
          <w:szCs w:val="28"/>
        </w:rPr>
        <w:t>с.Коробейниково</w:t>
      </w:r>
      <w:proofErr w:type="spellEnd"/>
      <w:r w:rsidRPr="00B6576F">
        <w:rPr>
          <w:sz w:val="28"/>
          <w:szCs w:val="28"/>
        </w:rPr>
        <w:t xml:space="preserve">. Во внебюджетном секторе планируется строительство модульного убойного пункта  индивидуальным предпринимателем ИП </w:t>
      </w:r>
      <w:proofErr w:type="spellStart"/>
      <w:r w:rsidRPr="00B6576F">
        <w:rPr>
          <w:sz w:val="28"/>
          <w:szCs w:val="28"/>
        </w:rPr>
        <w:t>Колтакова</w:t>
      </w:r>
      <w:proofErr w:type="spellEnd"/>
      <w:r w:rsidRPr="00B6576F">
        <w:rPr>
          <w:sz w:val="28"/>
          <w:szCs w:val="28"/>
        </w:rPr>
        <w:t xml:space="preserve"> М.М. общей стоимостью 10 млн. руб.. Корме того   продолжится обновление </w:t>
      </w:r>
      <w:proofErr w:type="spellStart"/>
      <w:proofErr w:type="gramStart"/>
      <w:r w:rsidRPr="00B6576F">
        <w:rPr>
          <w:sz w:val="28"/>
          <w:szCs w:val="28"/>
        </w:rPr>
        <w:t>машино-тракторного</w:t>
      </w:r>
      <w:proofErr w:type="spellEnd"/>
      <w:proofErr w:type="gramEnd"/>
      <w:r w:rsidRPr="00B6576F">
        <w:rPr>
          <w:sz w:val="28"/>
          <w:szCs w:val="28"/>
        </w:rPr>
        <w:t xml:space="preserve"> парка, комбайнов в сельском хозяйстве за счет собственных и привлеченных ресурсов.</w:t>
      </w:r>
    </w:p>
    <w:p w:rsidR="00A713E0" w:rsidRPr="00B6576F" w:rsidRDefault="00A713E0" w:rsidP="00A713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13E0" w:rsidRPr="00B6576F" w:rsidRDefault="00A713E0" w:rsidP="00A713E0">
      <w:pPr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     Строительство жилья  на территории района осуществляется  только  индивидуальными  застройщиками.  В целом индивидуальными застройщиками за счет всех источников финансирования  введено в эксплуатацию    в 2020  году –270 кв.м.,  прогнозируется  в 202</w:t>
      </w:r>
      <w:r w:rsidR="00F115FD" w:rsidRPr="00B6576F">
        <w:rPr>
          <w:rFonts w:ascii="Times New Roman" w:hAnsi="Times New Roman" w:cs="Times New Roman"/>
          <w:sz w:val="28"/>
          <w:szCs w:val="28"/>
        </w:rPr>
        <w:t>1г</w:t>
      </w:r>
      <w:r w:rsidRPr="00B6576F">
        <w:rPr>
          <w:rFonts w:ascii="Times New Roman" w:hAnsi="Times New Roman" w:cs="Times New Roman"/>
          <w:sz w:val="28"/>
          <w:szCs w:val="28"/>
        </w:rPr>
        <w:t>-250  кв. м и в последующие годы  большого роста не ожидается за счет  переизбытка жилья на вторичном рынке.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6576F">
        <w:rPr>
          <w:sz w:val="28"/>
          <w:szCs w:val="28"/>
        </w:rPr>
        <w:t xml:space="preserve">       Одним из инструментов  закрепления кадров на селе является стимулирование развития  рынка жилья.  В 2020 году в рамках  Государственных  программ улучшили жилищные условия  4 семьи.  </w:t>
      </w:r>
    </w:p>
    <w:p w:rsidR="00A713E0" w:rsidRPr="00B6576F" w:rsidRDefault="00A713E0" w:rsidP="00B6576F">
      <w:pPr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  Вместе с тем, приобретение и строительство жилья на практике пока остается доступны лишь ограниченному кругу семей из-за ряда проблем: высокой  стоимости строительства жилья и низких  доходов населения.   Ветхого и аварийного жилья на территории района нет.</w:t>
      </w:r>
    </w:p>
    <w:p w:rsidR="00A713E0" w:rsidRPr="00B6576F" w:rsidRDefault="00A713E0" w:rsidP="00A713E0">
      <w:pPr>
        <w:numPr>
          <w:ilvl w:val="0"/>
          <w:numId w:val="1"/>
        </w:numPr>
        <w:spacing w:after="240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>Потребительский рынок</w:t>
      </w:r>
    </w:p>
    <w:p w:rsidR="00A713E0" w:rsidRPr="00B6576F" w:rsidRDefault="00A713E0" w:rsidP="00A713E0">
      <w:pPr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B6576F">
        <w:rPr>
          <w:rFonts w:ascii="Times New Roman" w:hAnsi="Times New Roman" w:cs="Times New Roman"/>
          <w:spacing w:val="6"/>
          <w:sz w:val="28"/>
          <w:szCs w:val="28"/>
        </w:rPr>
        <w:t xml:space="preserve">           На территории района по состоянию на 01.01.2021 года действует 119 магазинов, в том числе смешанных – 66 . Обеспеченность населения торговыми площадями достаточно высокая – 682,7 м</w:t>
      </w:r>
      <w:proofErr w:type="gramStart"/>
      <w:r w:rsidRPr="00B6576F">
        <w:rPr>
          <w:rFonts w:ascii="Times New Roman" w:hAnsi="Times New Roman" w:cs="Times New Roman"/>
          <w:spacing w:val="6"/>
          <w:sz w:val="28"/>
          <w:szCs w:val="28"/>
          <w:vertAlign w:val="superscript"/>
        </w:rPr>
        <w:t>2</w:t>
      </w:r>
      <w:proofErr w:type="gramEnd"/>
      <w:r w:rsidRPr="00B6576F">
        <w:rPr>
          <w:rFonts w:ascii="Times New Roman" w:hAnsi="Times New Roman" w:cs="Times New Roman"/>
          <w:spacing w:val="6"/>
          <w:sz w:val="28"/>
          <w:szCs w:val="28"/>
        </w:rPr>
        <w:t xml:space="preserve"> на 1 тысячу жителей.</w:t>
      </w:r>
    </w:p>
    <w:p w:rsidR="00A713E0" w:rsidRPr="00B6576F" w:rsidRDefault="00A713E0" w:rsidP="00A713E0">
      <w:pPr>
        <w:pStyle w:val="a7"/>
        <w:rPr>
          <w:bCs/>
          <w:spacing w:val="8"/>
        </w:rPr>
      </w:pPr>
      <w:r w:rsidRPr="00B6576F">
        <w:rPr>
          <w:bCs/>
          <w:spacing w:val="8"/>
        </w:rPr>
        <w:t>Из общего количества магазинов 30% реализуют собственную продукцию (хлеб и хлебобулочные изделия, мясные полуфабрикаты, рыбную продукцию, кондитерские изделия).</w:t>
      </w:r>
    </w:p>
    <w:p w:rsidR="00A713E0" w:rsidRPr="00B6576F" w:rsidRDefault="00A713E0" w:rsidP="00A713E0">
      <w:pPr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B6576F">
        <w:rPr>
          <w:rFonts w:ascii="Times New Roman" w:hAnsi="Times New Roman" w:cs="Times New Roman"/>
          <w:spacing w:val="8"/>
          <w:sz w:val="28"/>
          <w:szCs w:val="28"/>
        </w:rPr>
        <w:t xml:space="preserve">         В прогнозируемом периоде на фоне увеличения доходов населения продолжится рост оборота розничной торговли и платных услуг населению.</w:t>
      </w:r>
    </w:p>
    <w:p w:rsidR="00A713E0" w:rsidRPr="00B6576F" w:rsidRDefault="00A713E0" w:rsidP="00A713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материально-технической базы предприятий торговли удовлетворительное. В торговых точках ведется модернизация, реконструкция, обновление оборудования, витрин и вывесок. На потребительском рынке  ежегодно  увеличивается оборот розничной торговли. Ощутимый рост  товарооборота приходится на торговые сети района,  их доля увеличивается в общем объеме ежегодно.  По общественному питанию  оборот   снижается.  </w:t>
      </w:r>
      <w:r w:rsidRPr="00B6576F">
        <w:rPr>
          <w:rFonts w:ascii="Times New Roman" w:hAnsi="Times New Roman" w:cs="Times New Roman"/>
          <w:spacing w:val="8"/>
          <w:sz w:val="28"/>
          <w:szCs w:val="28"/>
        </w:rPr>
        <w:t>Сфера общественного питания в районе представлена: 3 кафе на 155 мест. Услуги общественного питания востребованы в основном в райцентре, но и после кризиса по ним наблюдается значительное падение.</w:t>
      </w:r>
    </w:p>
    <w:p w:rsidR="00A713E0" w:rsidRPr="00B6576F" w:rsidRDefault="00A713E0" w:rsidP="00A713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3E0" w:rsidRPr="00B6576F" w:rsidRDefault="00A713E0" w:rsidP="00EC1DB2">
      <w:pPr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76F">
        <w:rPr>
          <w:rFonts w:ascii="Times New Roman" w:hAnsi="Times New Roman" w:cs="Times New Roman"/>
          <w:b/>
          <w:sz w:val="28"/>
          <w:szCs w:val="28"/>
        </w:rPr>
        <w:t>Туризм</w:t>
      </w:r>
    </w:p>
    <w:p w:rsidR="00A713E0" w:rsidRPr="00B6576F" w:rsidRDefault="00A713E0" w:rsidP="00A713E0">
      <w:pPr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Один из  перспективных    видов  деятельности - сельский туризм. Эстетическая и рекреационная ценность географического месторасположения территории </w:t>
      </w:r>
      <w:proofErr w:type="spellStart"/>
      <w:r w:rsidRPr="00B6576F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B6576F">
        <w:rPr>
          <w:rFonts w:ascii="Times New Roman" w:hAnsi="Times New Roman" w:cs="Times New Roman"/>
          <w:sz w:val="28"/>
          <w:szCs w:val="28"/>
        </w:rPr>
        <w:t xml:space="preserve"> района   </w:t>
      </w:r>
      <w:r w:rsidRPr="00B6576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6576F">
        <w:rPr>
          <w:rFonts w:ascii="Times New Roman" w:hAnsi="Times New Roman" w:cs="Times New Roman"/>
          <w:sz w:val="28"/>
          <w:szCs w:val="28"/>
        </w:rPr>
        <w:t xml:space="preserve">уникальна.  </w:t>
      </w:r>
    </w:p>
    <w:p w:rsidR="00A713E0" w:rsidRPr="00B6576F" w:rsidRDefault="00A713E0" w:rsidP="00A713E0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 селе </w:t>
      </w:r>
      <w:proofErr w:type="spellStart"/>
      <w:r w:rsidRPr="00B6576F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Коробейниково</w:t>
      </w:r>
      <w:proofErr w:type="spellEnd"/>
      <w:r w:rsidRPr="00B6576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действует известный  православный храм </w:t>
      </w:r>
      <w:r w:rsidRPr="00B6576F">
        <w:rPr>
          <w:rFonts w:ascii="Times New Roman" w:hAnsi="Times New Roman" w:cs="Times New Roman"/>
          <w:color w:val="000000"/>
          <w:spacing w:val="-9"/>
          <w:sz w:val="28"/>
          <w:szCs w:val="28"/>
        </w:rPr>
        <w:t>Казанской иконы Божией Матери, который был построен в 1905 году и по своему архитектурному стилю   в те времена   не имел аналогов  по всей Сибири. Ежегодно тысячи  паломников  совершают крестный ход и посещают храм, что также может способствовать развитию туризма.</w:t>
      </w:r>
    </w:p>
    <w:p w:rsidR="00A713E0" w:rsidRPr="00B6576F" w:rsidRDefault="00A713E0" w:rsidP="00A713E0">
      <w:pPr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6576F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B6576F">
        <w:rPr>
          <w:rFonts w:ascii="Times New Roman" w:hAnsi="Times New Roman" w:cs="Times New Roman"/>
          <w:sz w:val="28"/>
          <w:szCs w:val="28"/>
        </w:rPr>
        <w:t xml:space="preserve"> района  с уникальными природными комплексами, благоприятной экологией, богатым историко-культурным наследием реализация диверсифицированного туристско-рекреационного потенциала является одним из перспективных направлений развития. </w:t>
      </w:r>
    </w:p>
    <w:p w:rsidR="00A713E0" w:rsidRPr="00B6576F" w:rsidRDefault="00A713E0" w:rsidP="00A713E0">
      <w:pPr>
        <w:autoSpaceDE w:val="0"/>
        <w:autoSpaceDN w:val="0"/>
        <w:adjustRightInd w:val="0"/>
        <w:spacing w:line="233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На  сегодняшний день ключевыми  проблемами является:</w:t>
      </w:r>
    </w:p>
    <w:p w:rsidR="00A713E0" w:rsidRPr="00B6576F" w:rsidRDefault="00A713E0" w:rsidP="00A713E0">
      <w:pPr>
        <w:pStyle w:val="a9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малая доля средств коллективных средств размещения</w:t>
      </w:r>
      <w:proofErr w:type="gramStart"/>
      <w:r w:rsidRPr="00B6576F">
        <w:rPr>
          <w:rFonts w:ascii="Times New Roman" w:hAnsi="Times New Roman"/>
          <w:sz w:val="28"/>
          <w:szCs w:val="28"/>
        </w:rPr>
        <w:t>,;</w:t>
      </w:r>
      <w:proofErr w:type="gramEnd"/>
    </w:p>
    <w:p w:rsidR="00A713E0" w:rsidRPr="00B6576F" w:rsidRDefault="00A713E0" w:rsidP="00A713E0">
      <w:pPr>
        <w:pStyle w:val="a9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76F">
        <w:rPr>
          <w:rFonts w:ascii="Times New Roman" w:hAnsi="Times New Roman"/>
          <w:sz w:val="28"/>
          <w:szCs w:val="28"/>
        </w:rPr>
        <w:t>выраженная сезонность функционирования туристско-рекреационного комплекса.</w:t>
      </w:r>
    </w:p>
    <w:p w:rsidR="00A713E0" w:rsidRPr="00B6576F" w:rsidRDefault="00A713E0" w:rsidP="00A713E0">
      <w:pPr>
        <w:pStyle w:val="a9"/>
        <w:tabs>
          <w:tab w:val="left" w:pos="426"/>
        </w:tabs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713E0" w:rsidRPr="00B6576F" w:rsidRDefault="00A713E0" w:rsidP="00A713E0">
      <w:pPr>
        <w:rPr>
          <w:rFonts w:ascii="Times New Roman" w:hAnsi="Times New Roman" w:cs="Times New Roman"/>
          <w:sz w:val="28"/>
          <w:szCs w:val="28"/>
        </w:rPr>
      </w:pPr>
    </w:p>
    <w:p w:rsidR="00A713E0" w:rsidRPr="00B6576F" w:rsidRDefault="00A713E0" w:rsidP="00A713E0">
      <w:pPr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B6576F">
        <w:rPr>
          <w:rStyle w:val="a5"/>
          <w:rFonts w:ascii="Times New Roman" w:hAnsi="Times New Roman" w:cs="Times New Roman"/>
          <w:sz w:val="28"/>
          <w:szCs w:val="28"/>
        </w:rPr>
        <w:t xml:space="preserve"> Бюджет</w:t>
      </w:r>
    </w:p>
    <w:p w:rsidR="00A713E0" w:rsidRPr="00B6576F" w:rsidRDefault="00A713E0" w:rsidP="00A71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При прогнозе доходов – НДФЛ учитывался рост минимальной заработной платы</w:t>
      </w:r>
      <w:r w:rsidR="00E763E7" w:rsidRPr="00B6576F">
        <w:rPr>
          <w:rFonts w:ascii="Times New Roman" w:hAnsi="Times New Roman" w:cs="Times New Roman"/>
          <w:sz w:val="28"/>
          <w:szCs w:val="28"/>
        </w:rPr>
        <w:t xml:space="preserve">. В 2021 году ожидается поступление -36600 тыс. </w:t>
      </w:r>
      <w:proofErr w:type="spellStart"/>
      <w:r w:rsidR="00E763E7" w:rsidRPr="00B657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763E7" w:rsidRPr="00B6576F">
        <w:rPr>
          <w:rFonts w:ascii="Times New Roman" w:hAnsi="Times New Roman" w:cs="Times New Roman"/>
          <w:sz w:val="28"/>
          <w:szCs w:val="28"/>
        </w:rPr>
        <w:t>, на трехлетний период прогнозируется увеличение на 109 %  за счет роста заработной платы на уровень инфляции.</w:t>
      </w:r>
    </w:p>
    <w:p w:rsidR="00A713E0" w:rsidRPr="00B6576F" w:rsidRDefault="00A713E0" w:rsidP="00A71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При расчете единого налога, взимаемого в связи с применением упрощенной системы налогообложения, учитывалось увеличение численности  плательщиков налога из-за отмены ЕНВД.  </w:t>
      </w:r>
      <w:r w:rsidR="00E763E7" w:rsidRPr="00B6576F">
        <w:rPr>
          <w:rFonts w:ascii="Times New Roman" w:hAnsi="Times New Roman" w:cs="Times New Roman"/>
          <w:sz w:val="28"/>
          <w:szCs w:val="28"/>
        </w:rPr>
        <w:t xml:space="preserve">Ожидается в 2021 </w:t>
      </w:r>
      <w:r w:rsidR="00E763E7" w:rsidRPr="00B6576F">
        <w:rPr>
          <w:rFonts w:ascii="Times New Roman" w:hAnsi="Times New Roman" w:cs="Times New Roman"/>
          <w:sz w:val="28"/>
          <w:szCs w:val="28"/>
        </w:rPr>
        <w:lastRenderedPageBreak/>
        <w:t xml:space="preserve">году поступление 2500 тыс. </w:t>
      </w:r>
      <w:proofErr w:type="spellStart"/>
      <w:r w:rsidR="00E763E7" w:rsidRPr="00B6576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763E7" w:rsidRPr="00B6576F">
        <w:rPr>
          <w:rFonts w:ascii="Times New Roman" w:hAnsi="Times New Roman" w:cs="Times New Roman"/>
          <w:sz w:val="28"/>
          <w:szCs w:val="28"/>
        </w:rPr>
        <w:t xml:space="preserve"> и в последующие годы на 2022-2024г  с ростом до 2950 тыс. рублей. </w:t>
      </w:r>
    </w:p>
    <w:p w:rsidR="00A713E0" w:rsidRPr="00B6576F" w:rsidRDefault="00A713E0" w:rsidP="00A71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При расчете налога на имущество учитывалось , что за 2020 год налогообложение имущества физических лиц будет 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 xml:space="preserve"> исходя из кадастровой стоимости объектов налогообложения и учитывая что течении первых трех лет налог будет рассчитываться с учетом понижающих коэффициентов, и уменьшения налоговой базы по объектам налогообложения: в отношении комнаты-10кв.м., квартиры-20кв.м., жилого дома-50 кв.м.. В сельской местности в основном жилые дома чуть больше 50кв.м.</w:t>
      </w:r>
      <w:r w:rsidR="00E763E7" w:rsidRPr="00B6576F">
        <w:rPr>
          <w:rFonts w:ascii="Times New Roman" w:hAnsi="Times New Roman" w:cs="Times New Roman"/>
          <w:sz w:val="28"/>
          <w:szCs w:val="28"/>
        </w:rPr>
        <w:t xml:space="preserve"> Поэтому ожидается снижение поступления налога в 2021 году и незначительным ростом в 2022-2024году.</w:t>
      </w:r>
    </w:p>
    <w:p w:rsidR="00A713E0" w:rsidRPr="00B6576F" w:rsidRDefault="00A713E0" w:rsidP="00A71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При расчете земельного налога на 2023 и 2024 год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 xml:space="preserve"> прогнозируется незначительный рост к  отчету 2020 года ,  в связи с тем что, в 2018-19 годах гасилась недоимка бюджетных организаций по земельному налогу  юридических лиц.</w:t>
      </w:r>
    </w:p>
    <w:p w:rsidR="00A713E0" w:rsidRPr="00B6576F" w:rsidRDefault="00A713E0" w:rsidP="00A71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Роста по неналоговым доходам не прогнозируется в связи, с тем что в структуре неналоговых доходов  за 2019, 2020 годах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 xml:space="preserve"> находятся доходы от возмещения затрат. По аренде земли  значительного увеличения не предусмотрено, так как  кадастровая стоимость по отдельным участкам уменьшилась в результате пересмотра рыночной стоимости. Также продолжается  расторжение договоров аренды земли и отказ   от ранее используемых земельных участков сенокосов, пастбищ и неудобных, неплодородных участков пашни. </w:t>
      </w:r>
    </w:p>
    <w:p w:rsidR="00A713E0" w:rsidRPr="00B6576F" w:rsidRDefault="00A713E0" w:rsidP="00A713E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713E0" w:rsidRPr="00B6576F" w:rsidRDefault="00A713E0" w:rsidP="00A713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3E0" w:rsidRPr="00B6576F" w:rsidRDefault="00A713E0" w:rsidP="00A713E0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76F">
        <w:rPr>
          <w:rFonts w:ascii="Times New Roman" w:hAnsi="Times New Roman" w:cs="Times New Roman"/>
          <w:b/>
          <w:bCs/>
          <w:sz w:val="28"/>
          <w:szCs w:val="28"/>
        </w:rPr>
        <w:t xml:space="preserve">10 . Перечень основных проблемных вопросов, сдерживающих социально-экономическое развитие  района </w:t>
      </w:r>
    </w:p>
    <w:p w:rsidR="00A713E0" w:rsidRPr="00B6576F" w:rsidRDefault="00A713E0" w:rsidP="00A713E0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13E0" w:rsidRPr="00B6576F" w:rsidRDefault="00A713E0" w:rsidP="00A713E0">
      <w:pPr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Анализ текущего социально-экономического состояния и тенденций развития </w:t>
      </w:r>
      <w:proofErr w:type="spellStart"/>
      <w:r w:rsidRPr="00B6576F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B6576F">
        <w:rPr>
          <w:rFonts w:ascii="Times New Roman" w:hAnsi="Times New Roman" w:cs="Times New Roman"/>
          <w:sz w:val="28"/>
          <w:szCs w:val="28"/>
        </w:rPr>
        <w:t xml:space="preserve"> района Алтайского края, позволяет выявить ряд внутренних проблем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713E0" w:rsidRPr="00B6576F" w:rsidRDefault="00A713E0" w:rsidP="00A713E0">
      <w:pPr>
        <w:keepNext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lastRenderedPageBreak/>
        <w:t>территориальная диспропорция в развитии района, райцентра с одной стороны, и отдаленных от райцентра  сельских поселений  с другой стороны, в том числе по наличию объектов социальной сферы, по показателям  сельскохозяйственного производства, средней заработной платы  и т.д.;</w:t>
      </w:r>
    </w:p>
    <w:p w:rsidR="00A713E0" w:rsidRPr="00B6576F" w:rsidRDefault="00A713E0" w:rsidP="00A713E0">
      <w:pPr>
        <w:keepNext/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недостаточные темпы технологической модернизации  аграрного производства, наличие инфраструктурных ограничений для создания инвестиционных площадок и подключения новых производств (транспортная сеть, газификация, водоснабжение и т.д.) в районе, удаленном  от экономически развитого центра - 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6576F">
        <w:rPr>
          <w:rFonts w:ascii="Times New Roman" w:hAnsi="Times New Roman" w:cs="Times New Roman"/>
          <w:sz w:val="28"/>
          <w:szCs w:val="28"/>
        </w:rPr>
        <w:t>. Барнаула;</w:t>
      </w:r>
    </w:p>
    <w:p w:rsidR="00A713E0" w:rsidRPr="00B6576F" w:rsidRDefault="00A713E0" w:rsidP="00A713E0">
      <w:pPr>
        <w:keepNext/>
        <w:widowControl w:val="0"/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отсутствие  инвесторов  для реализации крупных инвестиционных проектов;</w:t>
      </w:r>
    </w:p>
    <w:p w:rsidR="00A713E0" w:rsidRPr="00B6576F" w:rsidRDefault="00A713E0" w:rsidP="00A713E0">
      <w:pPr>
        <w:keepNext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высокая транспортная составляющая в конечной цене реализации на  рынках сбыта по причине их территориальной удаленности;</w:t>
      </w:r>
    </w:p>
    <w:p w:rsidR="00A713E0" w:rsidRPr="00B6576F" w:rsidRDefault="00A713E0" w:rsidP="00A713E0">
      <w:pPr>
        <w:keepNext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высокая изношенность основных фондов в агропромышленном комплексе, жилищно-коммунальном хозяйстве;</w:t>
      </w:r>
    </w:p>
    <w:p w:rsidR="00A713E0" w:rsidRPr="00B6576F" w:rsidRDefault="00A713E0" w:rsidP="00A713E0">
      <w:pPr>
        <w:keepNext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низкий уровень благоустройства сельского жилищного фонда;</w:t>
      </w:r>
    </w:p>
    <w:p w:rsidR="00A713E0" w:rsidRPr="00B6576F" w:rsidRDefault="00A713E0" w:rsidP="00A713E0">
      <w:pPr>
        <w:keepNext/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  отсутствие организованного  туризма и сферы развлечений;</w:t>
      </w:r>
    </w:p>
    <w:p w:rsidR="00A713E0" w:rsidRPr="00B6576F" w:rsidRDefault="00A713E0" w:rsidP="00A713E0">
      <w:pPr>
        <w:keepNext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дефицит квалифицированных кадров в учреждениях социальной сферы</w:t>
      </w:r>
      <w:proofErr w:type="gramStart"/>
      <w:r w:rsidRPr="00B6576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713E0" w:rsidRPr="00B6576F" w:rsidRDefault="00A713E0" w:rsidP="00A713E0">
      <w:pPr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сокращение  экономического потенциала района из-за снижения численности действующих предприятий, способных увеличивать доходную базу бюджета;</w:t>
      </w:r>
    </w:p>
    <w:p w:rsidR="00A713E0" w:rsidRPr="00B6576F" w:rsidRDefault="00A713E0" w:rsidP="00A713E0">
      <w:pPr>
        <w:jc w:val="both"/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       ухудшение демографической ситуации, сокращение численности населения.</w:t>
      </w:r>
    </w:p>
    <w:p w:rsidR="00A713E0" w:rsidRPr="00B6576F" w:rsidRDefault="00A713E0" w:rsidP="00A713E0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13E0" w:rsidRPr="00B6576F" w:rsidRDefault="00A713E0" w:rsidP="00A713E0">
      <w:pPr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 xml:space="preserve">Председатель комитета по экономике   </w:t>
      </w:r>
    </w:p>
    <w:p w:rsidR="00A713E0" w:rsidRPr="00B6576F" w:rsidRDefault="00A713E0" w:rsidP="00A713E0">
      <w:pPr>
        <w:rPr>
          <w:rFonts w:ascii="Times New Roman" w:hAnsi="Times New Roman" w:cs="Times New Roman"/>
          <w:sz w:val="28"/>
          <w:szCs w:val="28"/>
        </w:rPr>
      </w:pPr>
      <w:r w:rsidRPr="00B6576F"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Л.Ю.Сорокина</w:t>
      </w:r>
    </w:p>
    <w:p w:rsidR="00A713E0" w:rsidRPr="00B6576F" w:rsidRDefault="00A713E0" w:rsidP="00A713E0">
      <w:pPr>
        <w:rPr>
          <w:rFonts w:ascii="Times New Roman" w:hAnsi="Times New Roman" w:cs="Times New Roman"/>
          <w:sz w:val="28"/>
          <w:szCs w:val="28"/>
        </w:rPr>
      </w:pPr>
    </w:p>
    <w:p w:rsidR="00A713E0" w:rsidRPr="00B6576F" w:rsidRDefault="00A713E0" w:rsidP="00920604">
      <w:pPr>
        <w:rPr>
          <w:rFonts w:ascii="Times New Roman" w:hAnsi="Times New Roman" w:cs="Times New Roman"/>
          <w:sz w:val="28"/>
          <w:szCs w:val="28"/>
        </w:rPr>
      </w:pPr>
    </w:p>
    <w:sectPr w:rsidR="00A713E0" w:rsidRPr="00B6576F" w:rsidSect="003E2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95518"/>
    <w:multiLevelType w:val="hybridMultilevel"/>
    <w:tmpl w:val="17E86C42"/>
    <w:lvl w:ilvl="0" w:tplc="74CE6A78">
      <w:start w:val="6"/>
      <w:numFmt w:val="decimal"/>
      <w:lvlText w:val="%1."/>
      <w:lvlJc w:val="left"/>
      <w:pPr>
        <w:ind w:left="1773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920604"/>
    <w:rsid w:val="00335C0A"/>
    <w:rsid w:val="003557F2"/>
    <w:rsid w:val="003E281B"/>
    <w:rsid w:val="00610E76"/>
    <w:rsid w:val="006B1011"/>
    <w:rsid w:val="008435B4"/>
    <w:rsid w:val="00920604"/>
    <w:rsid w:val="00A37DCA"/>
    <w:rsid w:val="00A713E0"/>
    <w:rsid w:val="00B6576F"/>
    <w:rsid w:val="00DA2B91"/>
    <w:rsid w:val="00E763E7"/>
    <w:rsid w:val="00EC1DB2"/>
    <w:rsid w:val="00F115FD"/>
    <w:rsid w:val="00F53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713E0"/>
    <w:pPr>
      <w:spacing w:after="0" w:line="240" w:lineRule="auto"/>
    </w:pPr>
  </w:style>
  <w:style w:type="character" w:styleId="a5">
    <w:name w:val="Strong"/>
    <w:basedOn w:val="a0"/>
    <w:uiPriority w:val="22"/>
    <w:qFormat/>
    <w:rsid w:val="00A713E0"/>
    <w:rPr>
      <w:b/>
      <w:bCs/>
    </w:rPr>
  </w:style>
  <w:style w:type="paragraph" w:styleId="a6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unhideWhenUsed/>
    <w:qFormat/>
    <w:rsid w:val="00A71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aliases w:val="Основной текст 1,Нумерованный список !!,Надин стиль"/>
    <w:basedOn w:val="a"/>
    <w:link w:val="a8"/>
    <w:rsid w:val="00A713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Надин стиль Знак"/>
    <w:basedOn w:val="a0"/>
    <w:link w:val="a7"/>
    <w:rsid w:val="00A713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A713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71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713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71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Абзац списка1,List Paragraph,маркированный"/>
    <w:basedOn w:val="a"/>
    <w:link w:val="aa"/>
    <w:uiPriority w:val="34"/>
    <w:qFormat/>
    <w:rsid w:val="00A713E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Абзац списка1 Знак,List Paragraph Знак,маркированный Знак"/>
    <w:link w:val="a9"/>
    <w:uiPriority w:val="34"/>
    <w:locked/>
    <w:rsid w:val="00A713E0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A713E0"/>
  </w:style>
  <w:style w:type="character" w:styleId="ab">
    <w:name w:val="annotation reference"/>
    <w:basedOn w:val="a0"/>
    <w:uiPriority w:val="99"/>
    <w:semiHidden/>
    <w:unhideWhenUsed/>
    <w:rsid w:val="00A713E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1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1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71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1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2842</Words>
  <Characters>16206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тюнькина</dc:creator>
  <cp:keywords/>
  <dc:description/>
  <cp:lastModifiedBy>тюнькина</cp:lastModifiedBy>
  <cp:revision>7</cp:revision>
  <cp:lastPrinted>2021-09-03T04:07:00Z</cp:lastPrinted>
  <dcterms:created xsi:type="dcterms:W3CDTF">2021-09-02T07:35:00Z</dcterms:created>
  <dcterms:modified xsi:type="dcterms:W3CDTF">2021-09-03T07:31:00Z</dcterms:modified>
</cp:coreProperties>
</file>