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r w:rsidR="00D039F3">
        <w:rPr>
          <w:rFonts w:ascii="Times New Roman" w:hAnsi="Times New Roman" w:cs="Times New Roman"/>
          <w:b/>
          <w:sz w:val="28"/>
          <w:szCs w:val="28"/>
        </w:rPr>
        <w:t>Краснодарский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A15997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r w:rsidR="00D039F3">
        <w:rPr>
          <w:rFonts w:ascii="Times New Roman" w:hAnsi="Times New Roman" w:cs="Times New Roman"/>
          <w:sz w:val="28"/>
          <w:szCs w:val="28"/>
        </w:rPr>
        <w:t>Краснодарский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r w:rsidR="00D039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039F3">
        <w:rPr>
          <w:rFonts w:ascii="Times New Roman" w:hAnsi="Times New Roman" w:cs="Times New Roman"/>
          <w:sz w:val="28"/>
          <w:szCs w:val="28"/>
        </w:rPr>
        <w:t>раснодарский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r w:rsidR="00D039F3">
        <w:rPr>
          <w:rFonts w:ascii="Times New Roman" w:eastAsia="Times New Roman" w:hAnsi="Times New Roman" w:cs="Times New Roman"/>
          <w:sz w:val="28"/>
          <w:szCs w:val="28"/>
        </w:rPr>
        <w:t>Краснодарского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4A7A9D">
        <w:rPr>
          <w:rFonts w:ascii="Times New Roman" w:hAnsi="Times New Roman"/>
          <w:sz w:val="28"/>
          <w:szCs w:val="28"/>
        </w:rPr>
        <w:t xml:space="preserve"> от 20</w:t>
      </w:r>
      <w:r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r w:rsidR="00D039F3">
        <w:rPr>
          <w:rFonts w:ascii="Times New Roman" w:hAnsi="Times New Roman" w:cs="Times New Roman"/>
          <w:sz w:val="28"/>
          <w:szCs w:val="28"/>
        </w:rPr>
        <w:t>Краснодарский</w:t>
      </w:r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r w:rsidR="00D039F3">
        <w:rPr>
          <w:rFonts w:ascii="Times New Roman" w:hAnsi="Times New Roman" w:cs="Times New Roman"/>
          <w:sz w:val="28"/>
          <w:szCs w:val="28"/>
        </w:rPr>
        <w:t>Краснодарский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r w:rsidR="00D039F3">
        <w:rPr>
          <w:rFonts w:ascii="Times New Roman" w:hAnsi="Times New Roman" w:cs="Times New Roman"/>
          <w:sz w:val="28"/>
          <w:szCs w:val="28"/>
        </w:rPr>
        <w:t>Краснодарский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039F3">
        <w:rPr>
          <w:rFonts w:ascii="Times New Roman" w:hAnsi="Times New Roman" w:cs="Times New Roman"/>
          <w:sz w:val="28"/>
          <w:szCs w:val="28"/>
        </w:rPr>
        <w:t>Краснодарский</w:t>
      </w:r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4D4AEF">
        <w:rPr>
          <w:rFonts w:ascii="Times New Roman" w:hAnsi="Times New Roman" w:cs="Times New Roman"/>
          <w:sz w:val="28"/>
          <w:szCs w:val="28"/>
        </w:rPr>
        <w:t>от 21.03.2022 №13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r w:rsidR="00D039F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Краснодарского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F66CD3">
        <w:rPr>
          <w:rFonts w:ascii="Times New Roman" w:hAnsi="Times New Roman" w:cs="Times New Roman"/>
          <w:sz w:val="28"/>
          <w:szCs w:val="28"/>
        </w:rPr>
        <w:t>4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F66CD3">
        <w:rPr>
          <w:rFonts w:ascii="Times New Roman" w:hAnsi="Times New Roman" w:cs="Times New Roman"/>
          <w:sz w:val="28"/>
          <w:szCs w:val="28"/>
        </w:rPr>
        <w:t xml:space="preserve"> № 1</w:t>
      </w:r>
      <w:r w:rsidR="00721AF5" w:rsidRPr="00721AF5">
        <w:rPr>
          <w:rFonts w:ascii="Times New Roman" w:hAnsi="Times New Roman" w:cs="Times New Roman"/>
          <w:sz w:val="28"/>
          <w:szCs w:val="28"/>
        </w:rPr>
        <w:t>0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r w:rsidR="00D039F3">
        <w:rPr>
          <w:rFonts w:ascii="Times New Roman" w:eastAsia="Times New Roman" w:hAnsi="Times New Roman"/>
          <w:sz w:val="28"/>
          <w:szCs w:val="28"/>
        </w:rPr>
        <w:t>Краснодарского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66CD3">
        <w:rPr>
          <w:rFonts w:ascii="Times New Roman" w:eastAsia="Times New Roman" w:hAnsi="Times New Roman"/>
          <w:sz w:val="28"/>
          <w:szCs w:val="28"/>
        </w:rPr>
        <w:t>20.12.2021 № 11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5A1370">
        <w:rPr>
          <w:rFonts w:ascii="Times New Roman" w:eastAsia="Times New Roman" w:hAnsi="Times New Roman"/>
          <w:sz w:val="28"/>
          <w:szCs w:val="28"/>
        </w:rPr>
        <w:t xml:space="preserve"> - Решение от 16.12.2021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 №65)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F66CD3">
        <w:rPr>
          <w:rFonts w:ascii="Times New Roman" w:eastAsia="Times New Roman" w:hAnsi="Times New Roman"/>
          <w:sz w:val="28"/>
          <w:szCs w:val="28"/>
        </w:rPr>
        <w:t>1987,3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F66CD3">
        <w:rPr>
          <w:rFonts w:ascii="Times New Roman" w:eastAsia="Times New Roman" w:hAnsi="Times New Roman"/>
          <w:sz w:val="28"/>
          <w:szCs w:val="28"/>
        </w:rPr>
        <w:t>852,6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F66CD3">
        <w:rPr>
          <w:rFonts w:ascii="Times New Roman" w:eastAsia="Times New Roman" w:hAnsi="Times New Roman"/>
          <w:sz w:val="28"/>
          <w:szCs w:val="28"/>
        </w:rPr>
        <w:t>42,9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 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F66CD3">
        <w:rPr>
          <w:rFonts w:ascii="Times New Roman" w:eastAsia="Times New Roman" w:hAnsi="Times New Roman"/>
          <w:sz w:val="28"/>
          <w:szCs w:val="28"/>
        </w:rPr>
        <w:t>2060,07</w:t>
      </w:r>
      <w:r w:rsidR="00F5113F">
        <w:rPr>
          <w:rFonts w:ascii="Times New Roman" w:eastAsia="Times New Roman" w:hAnsi="Times New Roman"/>
          <w:sz w:val="28"/>
          <w:szCs w:val="28"/>
        </w:rPr>
        <w:t xml:space="preserve"> тыс. рублей, де</w:t>
      </w:r>
      <w:r w:rsidRPr="005D1AE4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F66CD3">
        <w:rPr>
          <w:rFonts w:ascii="Times New Roman" w:eastAsia="Times New Roman" w:hAnsi="Times New Roman"/>
          <w:sz w:val="28"/>
          <w:szCs w:val="28"/>
        </w:rPr>
        <w:t>72,8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B27364">
        <w:rPr>
          <w:rFonts w:ascii="Times New Roman" w:eastAsia="Times New Roman" w:hAnsi="Times New Roman"/>
          <w:sz w:val="28"/>
          <w:szCs w:val="28"/>
        </w:rPr>
        <w:t>1985,3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B27364">
        <w:rPr>
          <w:rFonts w:ascii="Times New Roman" w:eastAsia="Times New Roman" w:hAnsi="Times New Roman"/>
          <w:sz w:val="28"/>
          <w:szCs w:val="28"/>
        </w:rPr>
        <w:t>2060,1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E81718">
        <w:rPr>
          <w:rFonts w:ascii="Times New Roman" w:eastAsia="Times New Roman" w:hAnsi="Times New Roman"/>
          <w:sz w:val="28"/>
          <w:szCs w:val="28"/>
        </w:rPr>
        <w:t>, с</w:t>
      </w:r>
      <w:r w:rsidR="00F5113F">
        <w:rPr>
          <w:rFonts w:ascii="Times New Roman" w:eastAsia="Times New Roman" w:hAnsi="Times New Roman"/>
          <w:sz w:val="28"/>
          <w:szCs w:val="28"/>
        </w:rPr>
        <w:t xml:space="preserve"> де</w:t>
      </w:r>
      <w:r w:rsidR="00B27364">
        <w:rPr>
          <w:rFonts w:ascii="Times New Roman" w:eastAsia="Times New Roman" w:hAnsi="Times New Roman"/>
          <w:sz w:val="28"/>
          <w:szCs w:val="28"/>
        </w:rPr>
        <w:t>фицитом бюджета в сумме 74</w:t>
      </w:r>
      <w:r w:rsidR="00605033">
        <w:rPr>
          <w:rFonts w:ascii="Times New Roman" w:eastAsia="Times New Roman" w:hAnsi="Times New Roman"/>
          <w:sz w:val="28"/>
          <w:szCs w:val="28"/>
        </w:rPr>
        <w:t>,8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Default="006B56E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r w:rsidR="00D039F3">
        <w:rPr>
          <w:rFonts w:ascii="Times New Roman" w:eastAsia="Times New Roman" w:hAnsi="Times New Roman"/>
          <w:b/>
          <w:sz w:val="28"/>
          <w:szCs w:val="28"/>
        </w:rPr>
        <w:t>Краснодарский</w:t>
      </w:r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063E46" w:rsidRDefault="00063E46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В нарушение пункта 26 федерального стандарта бухгалтерского учета для организаций государственного сектора «Бюджетная </w:t>
      </w:r>
      <w:r w:rsidRPr="008A59AC">
        <w:rPr>
          <w:rFonts w:ascii="Times New Roman" w:eastAsia="Times New Roman" w:hAnsi="Times New Roman"/>
          <w:b/>
          <w:sz w:val="28"/>
          <w:szCs w:val="28"/>
        </w:rPr>
        <w:lastRenderedPageBreak/>
        <w:t>информация в бухгалтерской (финансовой) отчетности», утвержденного 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</w:t>
      </w:r>
      <w:r w:rsidR="00A474D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показатель строки 010, графы</w:t>
      </w:r>
      <w:proofErr w:type="gramEnd"/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</w:t>
      </w:r>
      <w:r w:rsidR="0009716E">
        <w:rPr>
          <w:rFonts w:ascii="Times New Roman" w:eastAsia="Times New Roman" w:hAnsi="Times New Roman"/>
          <w:b/>
          <w:sz w:val="28"/>
          <w:szCs w:val="28"/>
        </w:rPr>
        <w:t xml:space="preserve"> сельсовета (ф. 0503117) (1985,3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тыс. рублей) не соответствует</w:t>
      </w:r>
      <w:r w:rsidR="00D67C1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A59AC">
        <w:rPr>
          <w:rFonts w:ascii="Times New Roman" w:eastAsia="Times New Roman" w:hAnsi="Times New Roman"/>
          <w:b/>
          <w:sz w:val="28"/>
          <w:szCs w:val="28"/>
        </w:rPr>
        <w:t>бю</w:t>
      </w:r>
      <w:r w:rsidR="00D67C13">
        <w:rPr>
          <w:rFonts w:ascii="Times New Roman" w:eastAsia="Times New Roman" w:hAnsi="Times New Roman"/>
          <w:b/>
          <w:sz w:val="28"/>
          <w:szCs w:val="28"/>
        </w:rPr>
        <w:t xml:space="preserve">джетным назначениям 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по доходам, утвержденным Решением о внесении изменений в бюджет </w:t>
      </w:r>
      <w:r w:rsidR="00D039F3">
        <w:rPr>
          <w:rFonts w:ascii="Times New Roman" w:eastAsia="Times New Roman" w:hAnsi="Times New Roman"/>
          <w:b/>
          <w:sz w:val="28"/>
          <w:szCs w:val="28"/>
        </w:rPr>
        <w:t>Краснодарского</w:t>
      </w:r>
      <w:r w:rsidR="0009716E">
        <w:rPr>
          <w:rFonts w:ascii="Times New Roman" w:eastAsia="Times New Roman" w:hAnsi="Times New Roman"/>
          <w:b/>
          <w:sz w:val="28"/>
          <w:szCs w:val="28"/>
        </w:rPr>
        <w:t xml:space="preserve"> сельсовета на 2021 год от 20.12.2021 №11 (1987,3 тыс. рублей), на 2 </w:t>
      </w:r>
      <w:r w:rsidRPr="008A59AC">
        <w:rPr>
          <w:rFonts w:ascii="Times New Roman" w:eastAsia="Times New Roman" w:hAnsi="Times New Roman"/>
          <w:b/>
          <w:sz w:val="28"/>
          <w:szCs w:val="28"/>
        </w:rPr>
        <w:t>тыс. рублей.</w:t>
      </w:r>
    </w:p>
    <w:p w:rsidR="00A474DD" w:rsidRPr="000104E1" w:rsidRDefault="00A474DD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нарушение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 ст. 217 Бюджетно</w:t>
      </w:r>
      <w:r w:rsidR="00000B60">
        <w:rPr>
          <w:rFonts w:ascii="Times New Roman" w:eastAsia="Times New Roman" w:hAnsi="Times New Roman"/>
          <w:b/>
          <w:sz w:val="28"/>
          <w:szCs w:val="28"/>
        </w:rPr>
        <w:t>го кодекса Российской Федерации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сводная бюджетная роспись </w:t>
      </w:r>
      <w:r w:rsidR="00FA0BD8">
        <w:rPr>
          <w:rFonts w:ascii="Times New Roman" w:eastAsia="Times New Roman" w:hAnsi="Times New Roman"/>
          <w:b/>
          <w:sz w:val="28"/>
          <w:szCs w:val="28"/>
        </w:rPr>
        <w:t xml:space="preserve">на 2021 год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составлена без поквартального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</w:p>
    <w:p w:rsidR="008A59AC" w:rsidRPr="000104E1" w:rsidRDefault="008A59AC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5B321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C73FB6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1987,3</w:t>
            </w:r>
          </w:p>
        </w:tc>
        <w:tc>
          <w:tcPr>
            <w:tcW w:w="1418" w:type="dxa"/>
          </w:tcPr>
          <w:p w:rsidR="00E97D70" w:rsidRPr="006C5BBB" w:rsidRDefault="002069FD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1985,3</w:t>
            </w:r>
          </w:p>
        </w:tc>
        <w:tc>
          <w:tcPr>
            <w:tcW w:w="1224" w:type="dxa"/>
          </w:tcPr>
          <w:p w:rsidR="00E97D70" w:rsidRPr="006C5BBB" w:rsidRDefault="002069FD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2105,1</w:t>
            </w:r>
          </w:p>
        </w:tc>
        <w:tc>
          <w:tcPr>
            <w:tcW w:w="1469" w:type="dxa"/>
          </w:tcPr>
          <w:p w:rsidR="00E97D70" w:rsidRPr="006C5BBB" w:rsidRDefault="002069FD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119,8</w:t>
            </w:r>
          </w:p>
        </w:tc>
        <w:tc>
          <w:tcPr>
            <w:tcW w:w="1384" w:type="dxa"/>
          </w:tcPr>
          <w:p w:rsidR="00E97D70" w:rsidRPr="006C5BBB" w:rsidRDefault="002069FD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5B321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C73FB6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2060,1</w:t>
            </w:r>
          </w:p>
        </w:tc>
        <w:tc>
          <w:tcPr>
            <w:tcW w:w="1418" w:type="dxa"/>
          </w:tcPr>
          <w:p w:rsidR="00E97D70" w:rsidRPr="006C5BBB" w:rsidRDefault="002069FD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2060,1</w:t>
            </w:r>
          </w:p>
        </w:tc>
        <w:tc>
          <w:tcPr>
            <w:tcW w:w="1224" w:type="dxa"/>
          </w:tcPr>
          <w:p w:rsidR="00E97D70" w:rsidRPr="006C5BBB" w:rsidRDefault="002069FD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2055,4</w:t>
            </w:r>
          </w:p>
        </w:tc>
        <w:tc>
          <w:tcPr>
            <w:tcW w:w="1469" w:type="dxa"/>
          </w:tcPr>
          <w:p w:rsidR="00E97D70" w:rsidRPr="006C5BBB" w:rsidRDefault="002069FD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-4,7</w:t>
            </w:r>
          </w:p>
        </w:tc>
        <w:tc>
          <w:tcPr>
            <w:tcW w:w="1384" w:type="dxa"/>
          </w:tcPr>
          <w:p w:rsidR="00E97D70" w:rsidRPr="006C5BBB" w:rsidRDefault="002069FD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C73FB6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B321C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C73FB6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-72,8</w:t>
            </w:r>
          </w:p>
        </w:tc>
        <w:tc>
          <w:tcPr>
            <w:tcW w:w="1418" w:type="dxa"/>
          </w:tcPr>
          <w:p w:rsidR="00E97D70" w:rsidRPr="006C5BBB" w:rsidRDefault="002069FD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-74,8</w:t>
            </w:r>
          </w:p>
        </w:tc>
        <w:tc>
          <w:tcPr>
            <w:tcW w:w="1224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2069FD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469" w:type="dxa"/>
          </w:tcPr>
          <w:p w:rsidR="00E97D70" w:rsidRPr="006C5BBB" w:rsidRDefault="00E3749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384" w:type="dxa"/>
          </w:tcPr>
          <w:p w:rsidR="00E97D70" w:rsidRPr="006C5BBB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D039F3">
        <w:rPr>
          <w:rFonts w:ascii="Times New Roman" w:hAnsi="Times New Roman" w:cs="Times New Roman"/>
          <w:b/>
          <w:bCs/>
          <w:sz w:val="28"/>
          <w:szCs w:val="28"/>
        </w:rPr>
        <w:t>Краснодарского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FB2CFE">
        <w:rPr>
          <w:rFonts w:ascii="Times New Roman" w:hAnsi="Times New Roman" w:cs="Times New Roman"/>
          <w:sz w:val="28"/>
          <w:szCs w:val="28"/>
        </w:rPr>
        <w:t>2105,1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FB2CFE">
        <w:rPr>
          <w:rFonts w:ascii="Times New Roman" w:hAnsi="Times New Roman" w:cs="Times New Roman"/>
          <w:sz w:val="28"/>
          <w:szCs w:val="28"/>
        </w:rPr>
        <w:t>1243,3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FB2CFE">
        <w:rPr>
          <w:rFonts w:ascii="Times New Roman" w:hAnsi="Times New Roman" w:cs="Times New Roman"/>
          <w:sz w:val="28"/>
          <w:szCs w:val="28"/>
        </w:rPr>
        <w:t>861,8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FB2CFE">
        <w:rPr>
          <w:rFonts w:ascii="Times New Roman" w:hAnsi="Times New Roman" w:cs="Times New Roman"/>
          <w:sz w:val="28"/>
          <w:szCs w:val="28"/>
        </w:rPr>
        <w:t xml:space="preserve">увеличился на </w:t>
      </w:r>
      <w:r w:rsidR="00ED1AAE">
        <w:rPr>
          <w:rFonts w:ascii="Times New Roman" w:hAnsi="Times New Roman" w:cs="Times New Roman"/>
          <w:sz w:val="28"/>
          <w:szCs w:val="28"/>
        </w:rPr>
        <w:t>716,8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D1AAE">
        <w:rPr>
          <w:rFonts w:ascii="Times New Roman" w:hAnsi="Times New Roman" w:cs="Times New Roman"/>
          <w:sz w:val="28"/>
          <w:szCs w:val="28"/>
        </w:rPr>
        <w:t>51,6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280DC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CA607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560" w:type="dxa"/>
            <w:vAlign w:val="center"/>
          </w:tcPr>
          <w:p w:rsidR="00733D03" w:rsidRPr="00B72899" w:rsidRDefault="00DA011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1985,3</w:t>
            </w:r>
          </w:p>
        </w:tc>
        <w:tc>
          <w:tcPr>
            <w:tcW w:w="1417" w:type="dxa"/>
            <w:vAlign w:val="center"/>
          </w:tcPr>
          <w:p w:rsidR="00733D03" w:rsidRPr="00B72899" w:rsidRDefault="00DA011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2105,1</w:t>
            </w:r>
          </w:p>
        </w:tc>
        <w:tc>
          <w:tcPr>
            <w:tcW w:w="1559" w:type="dxa"/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D24666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1050,9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42318C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1070,1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42318C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1148,9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54,6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D2466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6E4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6E4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B973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D2466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6E4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6E4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D24666" w:rsidP="00215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6E4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6E4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014D0E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9735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9735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152,0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4,7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D24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D24666">
              <w:rPr>
                <w:rFonts w:ascii="Times New Roman" w:hAnsi="Times New Roman" w:cs="Times New Roman"/>
                <w:sz w:val="24"/>
                <w:szCs w:val="24"/>
              </w:rPr>
              <w:t>использования  имущества, находящегося в государственной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D2466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</w:tr>
      <w:tr w:rsidR="00733D03" w:rsidRPr="00D22EFF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r w:rsidR="00D24666">
              <w:rPr>
                <w:rFonts w:ascii="Times New Roman" w:hAnsi="Times New Roman" w:cs="Times New Roman"/>
                <w:sz w:val="24"/>
                <w:szCs w:val="24"/>
              </w:rPr>
              <w:t>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D2466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A011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014D0E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9735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850,6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9735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861,8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C416F" w:rsidRPr="00D22EFF" w:rsidRDefault="00DA0110" w:rsidP="00B973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40,9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014D0E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014D0E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014D0E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973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BD710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</w:tr>
      <w:tr w:rsidR="00B97358" w:rsidRPr="00D22EFF" w:rsidTr="00B97358">
        <w:trPr>
          <w:trHeight w:val="450"/>
        </w:trPr>
        <w:tc>
          <w:tcPr>
            <w:tcW w:w="2093" w:type="dxa"/>
          </w:tcPr>
          <w:p w:rsidR="00B97358" w:rsidRDefault="00B97358" w:rsidP="0056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B97358" w:rsidRDefault="00B97358" w:rsidP="0056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97358" w:rsidRPr="00BE7316" w:rsidRDefault="00B97358" w:rsidP="0056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97358" w:rsidRPr="00BE7316" w:rsidRDefault="00B97358" w:rsidP="0056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559" w:type="dxa"/>
          </w:tcPr>
          <w:p w:rsidR="00B97358" w:rsidRPr="00D22EFF" w:rsidRDefault="00B97358" w:rsidP="00560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</w:tcPr>
          <w:p w:rsidR="00B97358" w:rsidRPr="00D22EFF" w:rsidRDefault="00BD710E" w:rsidP="00560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215FA7">
        <w:rPr>
          <w:rFonts w:ascii="Times New Roman" w:hAnsi="Times New Roman" w:cs="Times New Roman"/>
          <w:sz w:val="28"/>
          <w:szCs w:val="28"/>
        </w:rPr>
        <w:t>59,3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215FA7">
        <w:rPr>
          <w:rFonts w:ascii="Times New Roman" w:hAnsi="Times New Roman" w:cs="Times New Roman"/>
          <w:sz w:val="28"/>
          <w:szCs w:val="28"/>
        </w:rPr>
        <w:t>40,9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="00215FA7">
        <w:rPr>
          <w:rFonts w:ascii="Times New Roman" w:hAnsi="Times New Roman" w:cs="Times New Roman"/>
          <w:sz w:val="28"/>
          <w:szCs w:val="28"/>
        </w:rPr>
        <w:t xml:space="preserve">бюджет  на </w:t>
      </w:r>
      <w:r w:rsidR="00CF0F83">
        <w:rPr>
          <w:rFonts w:ascii="Times New Roman" w:hAnsi="Times New Roman" w:cs="Times New Roman"/>
          <w:sz w:val="28"/>
          <w:szCs w:val="28"/>
        </w:rPr>
        <w:t xml:space="preserve">  </w:t>
      </w:r>
      <w:r w:rsidR="00215FA7">
        <w:rPr>
          <w:rFonts w:ascii="Times New Roman" w:hAnsi="Times New Roman" w:cs="Times New Roman"/>
          <w:sz w:val="28"/>
          <w:szCs w:val="28"/>
        </w:rPr>
        <w:t>112,4тыс. рублей   больше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215FA7">
        <w:rPr>
          <w:rFonts w:ascii="Times New Roman" w:hAnsi="Times New Roman" w:cs="Times New Roman"/>
          <w:sz w:val="28"/>
          <w:szCs w:val="28"/>
        </w:rPr>
        <w:t xml:space="preserve">увеличились  на 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</w:t>
      </w:r>
      <w:r w:rsidR="00D3160D">
        <w:rPr>
          <w:rFonts w:ascii="Times New Roman" w:hAnsi="Times New Roman" w:cs="Times New Roman"/>
          <w:sz w:val="28"/>
          <w:szCs w:val="28"/>
        </w:rPr>
        <w:t>88,8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6B555F" w:rsidRDefault="006B555F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555F" w:rsidRDefault="006B555F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555F" w:rsidRDefault="006B555F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Исполнение бюджета </w:t>
      </w:r>
      <w:r w:rsidR="00D039F3">
        <w:rPr>
          <w:rFonts w:ascii="Times New Roman" w:hAnsi="Times New Roman" w:cs="Times New Roman"/>
          <w:b/>
          <w:sz w:val="28"/>
          <w:szCs w:val="28"/>
        </w:rPr>
        <w:t>Краснодарского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655906">
        <w:rPr>
          <w:rFonts w:ascii="Times New Roman" w:hAnsi="Times New Roman" w:cs="Times New Roman"/>
          <w:sz w:val="28"/>
          <w:szCs w:val="28"/>
        </w:rPr>
        <w:t>110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 При плане </w:t>
      </w:r>
      <w:r w:rsidR="00655906">
        <w:rPr>
          <w:rFonts w:ascii="Times New Roman" w:hAnsi="Times New Roman" w:cs="Times New Roman"/>
          <w:sz w:val="28"/>
          <w:szCs w:val="28"/>
        </w:rPr>
        <w:t>1134,7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655906">
        <w:rPr>
          <w:rFonts w:ascii="Times New Roman" w:hAnsi="Times New Roman" w:cs="Times New Roman"/>
          <w:sz w:val="28"/>
          <w:szCs w:val="28"/>
        </w:rPr>
        <w:t>1247,1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655906">
        <w:rPr>
          <w:rFonts w:ascii="Times New Roman" w:hAnsi="Times New Roman" w:cs="Times New Roman"/>
          <w:sz w:val="28"/>
          <w:szCs w:val="28"/>
        </w:rPr>
        <w:t>53,94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655906">
        <w:rPr>
          <w:rFonts w:ascii="Times New Roman" w:hAnsi="Times New Roman" w:cs="Times New Roman"/>
          <w:sz w:val="28"/>
          <w:szCs w:val="28"/>
        </w:rPr>
        <w:t>107,4</w:t>
      </w:r>
      <w:r w:rsidRPr="002B52CF">
        <w:rPr>
          <w:rFonts w:ascii="Times New Roman" w:hAnsi="Times New Roman" w:cs="Times New Roman"/>
          <w:sz w:val="28"/>
          <w:szCs w:val="28"/>
        </w:rPr>
        <w:t xml:space="preserve"> 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  увеличились 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на </w:t>
      </w:r>
      <w:r w:rsidR="00655906">
        <w:rPr>
          <w:rFonts w:ascii="Times New Roman" w:hAnsi="Times New Roman" w:cs="Times New Roman"/>
          <w:sz w:val="28"/>
          <w:szCs w:val="28"/>
        </w:rPr>
        <w:t>98,0</w:t>
      </w:r>
      <w:r w:rsidRPr="002B52CF">
        <w:rPr>
          <w:rFonts w:ascii="Times New Roman" w:hAnsi="Times New Roman" w:cs="Times New Roman"/>
          <w:sz w:val="28"/>
          <w:szCs w:val="28"/>
        </w:rPr>
        <w:t xml:space="preserve"> тыс. рублей (н</w:t>
      </w:r>
      <w:r w:rsidR="00655906">
        <w:rPr>
          <w:rFonts w:ascii="Times New Roman" w:hAnsi="Times New Roman" w:cs="Times New Roman"/>
          <w:sz w:val="28"/>
          <w:szCs w:val="28"/>
        </w:rPr>
        <w:t>а 9,3</w:t>
      </w:r>
      <w:r w:rsidRPr="002B52CF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655906">
        <w:rPr>
          <w:rFonts w:ascii="Times New Roman" w:hAnsi="Times New Roman" w:cs="Times New Roman"/>
          <w:sz w:val="28"/>
          <w:szCs w:val="28"/>
        </w:rPr>
        <w:t>на  152</w:t>
      </w:r>
      <w:r w:rsidRPr="002B52CF">
        <w:rPr>
          <w:rFonts w:ascii="Times New Roman" w:hAnsi="Times New Roman" w:cs="Times New Roman"/>
          <w:sz w:val="28"/>
          <w:szCs w:val="28"/>
        </w:rPr>
        <w:t xml:space="preserve"> %, </w:t>
      </w:r>
      <w:r w:rsidR="00655906">
        <w:rPr>
          <w:rFonts w:ascii="Times New Roman" w:hAnsi="Times New Roman" w:cs="Times New Roman"/>
          <w:sz w:val="28"/>
          <w:szCs w:val="28"/>
        </w:rPr>
        <w:t xml:space="preserve"> и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655906">
        <w:rPr>
          <w:rFonts w:ascii="Times New Roman" w:hAnsi="Times New Roman" w:cs="Times New Roman"/>
          <w:sz w:val="28"/>
          <w:szCs w:val="28"/>
        </w:rPr>
        <w:t>9,2 тыс. рублей или 8,6</w:t>
      </w:r>
      <w:r w:rsidRPr="002B52CF">
        <w:rPr>
          <w:rFonts w:ascii="Times New Roman" w:hAnsi="Times New Roman" w:cs="Times New Roman"/>
          <w:sz w:val="28"/>
          <w:szCs w:val="28"/>
        </w:rPr>
        <w:t>%  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r w:rsidR="00D039F3">
        <w:rPr>
          <w:rFonts w:ascii="Times New Roman" w:hAnsi="Times New Roman" w:cs="Times New Roman"/>
          <w:b/>
          <w:sz w:val="28"/>
          <w:szCs w:val="28"/>
        </w:rPr>
        <w:t>Краснодарского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C64E65">
        <w:rPr>
          <w:rFonts w:ascii="Times New Roman" w:hAnsi="Times New Roman" w:cs="Times New Roman"/>
          <w:sz w:val="28"/>
          <w:szCs w:val="28"/>
        </w:rPr>
        <w:t>861,8 тыс. рублей или 101,3</w:t>
      </w:r>
      <w:r w:rsidRPr="00124BEE">
        <w:rPr>
          <w:rFonts w:ascii="Times New Roman" w:hAnsi="Times New Roman" w:cs="Times New Roman"/>
          <w:sz w:val="28"/>
          <w:szCs w:val="28"/>
        </w:rPr>
        <w:t xml:space="preserve">% к уточненному годовому плану, что </w:t>
      </w:r>
      <w:r w:rsidR="00C64E65">
        <w:rPr>
          <w:rFonts w:ascii="Times New Roman" w:hAnsi="Times New Roman" w:cs="Times New Roman"/>
          <w:sz w:val="28"/>
          <w:szCs w:val="28"/>
        </w:rPr>
        <w:t>на 631,8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C64E65">
        <w:rPr>
          <w:rFonts w:ascii="Times New Roman" w:hAnsi="Times New Roman" w:cs="Times New Roman"/>
          <w:sz w:val="28"/>
          <w:szCs w:val="28"/>
        </w:rPr>
        <w:t>42,9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C64E65">
        <w:rPr>
          <w:rFonts w:ascii="Times New Roman" w:hAnsi="Times New Roman" w:cs="Times New Roman"/>
          <w:sz w:val="28"/>
          <w:szCs w:val="28"/>
        </w:rPr>
        <w:t>27,6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C64E65">
        <w:rPr>
          <w:rFonts w:ascii="Times New Roman" w:hAnsi="Times New Roman" w:cs="Times New Roman"/>
          <w:sz w:val="28"/>
          <w:szCs w:val="28"/>
        </w:rPr>
        <w:t>– 53,6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64E65">
        <w:rPr>
          <w:rFonts w:ascii="Times New Roman" w:hAnsi="Times New Roman" w:cs="Times New Roman"/>
          <w:sz w:val="28"/>
          <w:szCs w:val="28"/>
        </w:rPr>
        <w:t>55,9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C64E65">
        <w:rPr>
          <w:rFonts w:ascii="Times New Roman" w:hAnsi="Times New Roman" w:cs="Times New Roman"/>
          <w:sz w:val="28"/>
          <w:szCs w:val="28"/>
        </w:rPr>
        <w:t>713,5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64E65" w:rsidRDefault="00C64E65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(спонсорская помощь) составили</w:t>
      </w:r>
    </w:p>
    <w:p w:rsidR="00723183" w:rsidRDefault="00C64E65" w:rsidP="00C64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11,2 тыс. рублей.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E65" w:rsidRPr="00723183" w:rsidRDefault="00C64E65" w:rsidP="00C64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r w:rsidR="00D039F3">
        <w:rPr>
          <w:rFonts w:ascii="Times New Roman" w:hAnsi="Times New Roman" w:cs="Times New Roman"/>
          <w:b/>
          <w:bCs/>
          <w:sz w:val="28"/>
          <w:szCs w:val="28"/>
        </w:rPr>
        <w:t>Краснодарского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</w:t>
      </w:r>
      <w:r w:rsidR="00FA0AD5">
        <w:rPr>
          <w:rFonts w:ascii="Times New Roman" w:hAnsi="Times New Roman" w:cs="Times New Roman"/>
          <w:sz w:val="28"/>
          <w:szCs w:val="28"/>
        </w:rPr>
        <w:t xml:space="preserve">2060,1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FA0AD5">
        <w:rPr>
          <w:rFonts w:ascii="Times New Roman" w:hAnsi="Times New Roman" w:cs="Times New Roman"/>
          <w:sz w:val="28"/>
          <w:szCs w:val="28"/>
        </w:rPr>
        <w:t>2055,4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FA0AD5">
        <w:rPr>
          <w:rFonts w:ascii="Times New Roman" w:hAnsi="Times New Roman" w:cs="Times New Roman"/>
          <w:sz w:val="28"/>
          <w:szCs w:val="28"/>
        </w:rPr>
        <w:t>99,8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FA0AD5">
        <w:rPr>
          <w:rFonts w:ascii="Times New Roman" w:hAnsi="Times New Roman" w:cs="Times New Roman"/>
          <w:sz w:val="28"/>
          <w:szCs w:val="28"/>
        </w:rPr>
        <w:t>153,2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E0E6B" w:rsidRDefault="00EE0E6B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E0E6B" w:rsidRDefault="00EE0E6B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E019F5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E019F5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E019F5" w:rsidRDefault="00E019F5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-4,7</w:t>
            </w:r>
          </w:p>
        </w:tc>
        <w:tc>
          <w:tcPr>
            <w:tcW w:w="992" w:type="dxa"/>
          </w:tcPr>
          <w:p w:rsidR="00DA137D" w:rsidRPr="00DA137D" w:rsidRDefault="00E019F5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258A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258A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1533,4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34C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74,6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258A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5258A8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34C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2,6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34C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E019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82E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82E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82E" w:rsidRDefault="0043082E" w:rsidP="00E019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43082E" w:rsidRPr="0043082E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  <w:r w:rsidR="0043082E">
              <w:rPr>
                <w:rFonts w:ascii="Times New Roman" w:hAnsi="Times New Roman" w:cs="Times New Roman"/>
                <w:b/>
                <w:bCs/>
              </w:rPr>
              <w:t>2,1</w:t>
            </w:r>
          </w:p>
        </w:tc>
        <w:tc>
          <w:tcPr>
            <w:tcW w:w="992" w:type="dxa"/>
            <w:vAlign w:val="bottom"/>
          </w:tcPr>
          <w:p w:rsidR="00DA137D" w:rsidRPr="00DA137D" w:rsidRDefault="00B15FE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96,35</w:t>
            </w:r>
          </w:p>
        </w:tc>
        <w:tc>
          <w:tcPr>
            <w:tcW w:w="992" w:type="dxa"/>
            <w:vAlign w:val="bottom"/>
          </w:tcPr>
          <w:p w:rsidR="00DA137D" w:rsidRPr="00DA137D" w:rsidRDefault="00C34C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2,7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43082E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  <w:r w:rsidR="0043082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2" w:type="dxa"/>
            <w:vAlign w:val="bottom"/>
          </w:tcPr>
          <w:p w:rsidR="00DA137D" w:rsidRPr="00DA137D" w:rsidRDefault="00B15FE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96,35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43082E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43082E">
              <w:rPr>
                <w:rFonts w:ascii="Times New Roman" w:hAnsi="Times New Roman" w:cs="Times New Roman"/>
                <w:b/>
                <w:bCs/>
              </w:rPr>
              <w:t>2,6</w:t>
            </w:r>
          </w:p>
        </w:tc>
        <w:tc>
          <w:tcPr>
            <w:tcW w:w="992" w:type="dxa"/>
            <w:vAlign w:val="bottom"/>
          </w:tcPr>
          <w:p w:rsidR="00DA137D" w:rsidRPr="00DA137D" w:rsidRDefault="00B15FE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99,31</w:t>
            </w:r>
          </w:p>
        </w:tc>
        <w:tc>
          <w:tcPr>
            <w:tcW w:w="992" w:type="dxa"/>
            <w:vAlign w:val="bottom"/>
          </w:tcPr>
          <w:p w:rsidR="00DA137D" w:rsidRPr="00DA137D" w:rsidRDefault="00C34C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18,3</w:t>
            </w:r>
          </w:p>
        </w:tc>
      </w:tr>
      <w:tr w:rsidR="0043082E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43082E" w:rsidRPr="0043082E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43082E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3082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43082E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43082E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  <w:vAlign w:val="bottom"/>
          </w:tcPr>
          <w:p w:rsidR="00DA137D" w:rsidRPr="00DA137D" w:rsidRDefault="00B15FE1" w:rsidP="00B15F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72,92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B15F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</w:t>
            </w:r>
            <w:r w:rsidR="00C34C1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C1F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72C1F"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992" w:type="dxa"/>
            <w:vAlign w:val="bottom"/>
          </w:tcPr>
          <w:p w:rsidR="00F72C1F" w:rsidRPr="00F72C1F" w:rsidRDefault="00C34C1B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</w:t>
            </w:r>
          </w:p>
        </w:tc>
      </w:tr>
      <w:tr w:rsidR="00F72C1F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1F" w:rsidRPr="00DA137D" w:rsidRDefault="00F72C1F" w:rsidP="00EE0E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Pr="00DA137D" w:rsidRDefault="00F72C1F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Pr="00DA137D" w:rsidRDefault="00F72C1F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C1F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F72C1F" w:rsidRPr="00F72C1F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F72C1F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F72C1F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34C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1,1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72C1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</w:t>
      </w:r>
      <w:r w:rsidR="009732EB">
        <w:rPr>
          <w:rFonts w:ascii="Times New Roman" w:hAnsi="Times New Roman" w:cs="Times New Roman"/>
          <w:sz w:val="28"/>
          <w:szCs w:val="28"/>
        </w:rPr>
        <w:t>рованным разделам составляет  99,8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9732EB">
        <w:rPr>
          <w:rFonts w:ascii="Times New Roman" w:hAnsi="Times New Roman" w:cs="Times New Roman"/>
          <w:sz w:val="28"/>
          <w:szCs w:val="28"/>
        </w:rPr>
        <w:t>74,6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9732EB">
        <w:rPr>
          <w:rFonts w:ascii="Times New Roman" w:hAnsi="Times New Roman" w:cs="Times New Roman"/>
          <w:sz w:val="28"/>
          <w:szCs w:val="28"/>
        </w:rPr>
        <w:t>1533,4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9732EB">
        <w:rPr>
          <w:rFonts w:ascii="Times New Roman" w:hAnsi="Times New Roman" w:cs="Times New Roman"/>
          <w:sz w:val="28"/>
          <w:szCs w:val="28"/>
        </w:rPr>
        <w:t>74,6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9732EB">
        <w:rPr>
          <w:rFonts w:ascii="Times New Roman" w:hAnsi="Times New Roman" w:cs="Times New Roman"/>
          <w:sz w:val="28"/>
          <w:szCs w:val="28"/>
        </w:rPr>
        <w:t xml:space="preserve"> в размере 53,6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9732EB">
        <w:rPr>
          <w:rFonts w:ascii="Times New Roman" w:hAnsi="Times New Roman" w:cs="Times New Roman"/>
          <w:sz w:val="28"/>
          <w:szCs w:val="28"/>
        </w:rPr>
        <w:t>4,3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100,0%. </w:t>
      </w:r>
      <w:r w:rsidR="009732EB">
        <w:rPr>
          <w:rFonts w:ascii="Times New Roman" w:hAnsi="Times New Roman" w:cs="Times New Roman"/>
          <w:sz w:val="28"/>
          <w:szCs w:val="28"/>
        </w:rPr>
        <w:t>Большая часть денежных</w:t>
      </w:r>
      <w:r w:rsidRPr="00F24F44">
        <w:rPr>
          <w:rFonts w:ascii="Times New Roman" w:hAnsi="Times New Roman" w:cs="Times New Roman"/>
          <w:sz w:val="28"/>
          <w:szCs w:val="28"/>
        </w:rPr>
        <w:t xml:space="preserve"> средс</w:t>
      </w:r>
      <w:r w:rsidR="0049239B">
        <w:rPr>
          <w:rFonts w:ascii="Times New Roman" w:hAnsi="Times New Roman" w:cs="Times New Roman"/>
          <w:sz w:val="28"/>
          <w:szCs w:val="28"/>
        </w:rPr>
        <w:t>тв направлен</w:t>
      </w:r>
      <w:r w:rsidR="009732EB">
        <w:rPr>
          <w:rFonts w:ascii="Times New Roman" w:hAnsi="Times New Roman" w:cs="Times New Roman"/>
          <w:sz w:val="28"/>
          <w:szCs w:val="28"/>
        </w:rPr>
        <w:t>а</w:t>
      </w:r>
      <w:r w:rsidR="0049239B">
        <w:rPr>
          <w:rFonts w:ascii="Times New Roman" w:hAnsi="Times New Roman" w:cs="Times New Roman"/>
          <w:sz w:val="28"/>
          <w:szCs w:val="28"/>
        </w:rPr>
        <w:t xml:space="preserve">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</w:p>
    <w:p w:rsidR="00164FD0" w:rsidRPr="00FE1332" w:rsidRDefault="00F24F44" w:rsidP="009732EB">
      <w:pPr>
        <w:pStyle w:val="a6"/>
        <w:spacing w:before="0" w:after="0" w:line="330" w:lineRule="atLeast"/>
        <w:ind w:firstLine="709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9732EB">
        <w:rPr>
          <w:rFonts w:ascii="Times New Roman" w:hAnsi="Times New Roman" w:cs="Times New Roman"/>
          <w:sz w:val="28"/>
          <w:szCs w:val="28"/>
        </w:rPr>
        <w:t>55,4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164FD0">
        <w:rPr>
          <w:rFonts w:ascii="Times New Roman" w:hAnsi="Times New Roman" w:cs="Times New Roman"/>
          <w:sz w:val="28"/>
          <w:szCs w:val="28"/>
        </w:rPr>
        <w:t xml:space="preserve">ыс. рублей, что составляет </w:t>
      </w:r>
      <w:r w:rsidR="009732EB">
        <w:rPr>
          <w:rFonts w:ascii="Times New Roman" w:hAnsi="Times New Roman" w:cs="Times New Roman"/>
          <w:sz w:val="28"/>
          <w:szCs w:val="28"/>
        </w:rPr>
        <w:t>96,35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732EB">
        <w:rPr>
          <w:rFonts w:ascii="Times New Roman" w:hAnsi="Times New Roman" w:cs="Times New Roman"/>
          <w:sz w:val="28"/>
          <w:szCs w:val="28"/>
        </w:rPr>
        <w:t>2,7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Оста</w:t>
      </w:r>
      <w:r w:rsidR="009732EB">
        <w:rPr>
          <w:rStyle w:val="af2"/>
          <w:b w:val="0"/>
          <w:color w:val="000000"/>
          <w:sz w:val="28"/>
          <w:szCs w:val="28"/>
        </w:rPr>
        <w:t>ток неиспользованных средств 2,1</w:t>
      </w:r>
      <w:r w:rsidR="00164FD0">
        <w:rPr>
          <w:rStyle w:val="af2"/>
          <w:b w:val="0"/>
          <w:color w:val="000000"/>
          <w:sz w:val="28"/>
          <w:szCs w:val="28"/>
        </w:rPr>
        <w:t xml:space="preserve"> тыс. рублей.</w:t>
      </w:r>
      <w:r w:rsidR="007C45F6">
        <w:rPr>
          <w:rStyle w:val="af2"/>
          <w:b w:val="0"/>
          <w:color w:val="000000"/>
          <w:sz w:val="28"/>
          <w:szCs w:val="28"/>
        </w:rPr>
        <w:t xml:space="preserve"> Сведения о причинах неисполнения бюджетных ассигнований в контрольно-счетную палату не представлены.</w:t>
      </w:r>
    </w:p>
    <w:p w:rsidR="009732EB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9732EB">
        <w:rPr>
          <w:rFonts w:ascii="Times New Roman" w:hAnsi="Times New Roman" w:cs="Times New Roman"/>
          <w:sz w:val="28"/>
          <w:szCs w:val="28"/>
        </w:rPr>
        <w:t>377,0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9732EB">
        <w:rPr>
          <w:rFonts w:ascii="Times New Roman" w:hAnsi="Times New Roman" w:cs="Times New Roman"/>
          <w:sz w:val="28"/>
          <w:szCs w:val="28"/>
        </w:rPr>
        <w:t>:</w:t>
      </w:r>
    </w:p>
    <w:p w:rsidR="009732EB" w:rsidRDefault="009732EB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24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370,0 тыс. рублей или 100% от плана </w:t>
      </w:r>
      <w:r w:rsidRPr="00F24F44">
        <w:rPr>
          <w:rFonts w:ascii="Times New Roman" w:hAnsi="Times New Roman" w:cs="Times New Roman"/>
          <w:sz w:val="28"/>
          <w:szCs w:val="28"/>
        </w:rPr>
        <w:t>по подразделу 0</w:t>
      </w:r>
      <w:r>
        <w:rPr>
          <w:rFonts w:ascii="Times New Roman" w:hAnsi="Times New Roman" w:cs="Times New Roman"/>
          <w:sz w:val="28"/>
          <w:szCs w:val="28"/>
        </w:rPr>
        <w:t>502 «Коммунальное хозяйство»;</w:t>
      </w:r>
    </w:p>
    <w:p w:rsidR="00F744AD" w:rsidRDefault="009732EB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7,0 тыс. рублей или 72,92% </w:t>
      </w:r>
      <w:r w:rsidR="00F24F44" w:rsidRPr="00F24F44">
        <w:rPr>
          <w:rFonts w:ascii="Times New Roman" w:hAnsi="Times New Roman" w:cs="Times New Roman"/>
          <w:sz w:val="28"/>
          <w:szCs w:val="28"/>
        </w:rPr>
        <w:t>по подразделу 0</w:t>
      </w:r>
      <w:r>
        <w:rPr>
          <w:rFonts w:ascii="Times New Roman" w:hAnsi="Times New Roman" w:cs="Times New Roman"/>
          <w:sz w:val="28"/>
          <w:szCs w:val="28"/>
        </w:rPr>
        <w:t>503 «Благоустройство»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32EB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9732EB">
        <w:rPr>
          <w:rFonts w:ascii="Times New Roman" w:hAnsi="Times New Roman" w:cs="Times New Roman"/>
          <w:sz w:val="28"/>
          <w:szCs w:val="28"/>
        </w:rPr>
        <w:t>составляет 6,1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>.</w:t>
      </w:r>
    </w:p>
    <w:p w:rsidR="004761F3" w:rsidRDefault="009732EB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732EB">
        <w:rPr>
          <w:rFonts w:ascii="Times New Roman" w:hAnsi="Times New Roman" w:cs="Times New Roman"/>
          <w:sz w:val="28"/>
          <w:szCs w:val="28"/>
          <w:u w:val="single"/>
        </w:rPr>
        <w:t>1000 «Социальная политика»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кассовое исполнение составило 2,4 тыс. рублей или 100% к плану.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="009732EB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="004761F3" w:rsidRPr="004C0445">
        <w:rPr>
          <w:rFonts w:ascii="Times New Roman" w:hAnsi="Times New Roman" w:cs="Times New Roman"/>
          <w:color w:val="000000"/>
          <w:sz w:val="28"/>
          <w:szCs w:val="28"/>
          <w:u w:val="single"/>
        </w:rPr>
        <w:t>Обслуживание государственного (муниципального) долга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9732EB">
        <w:rPr>
          <w:rFonts w:ascii="Times New Roman" w:hAnsi="Times New Roman" w:cs="Times New Roman"/>
          <w:sz w:val="28"/>
          <w:szCs w:val="28"/>
        </w:rPr>
        <w:t>23,6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r w:rsidR="00D039F3">
        <w:rPr>
          <w:rFonts w:ascii="Times New Roman" w:hAnsi="Times New Roman" w:cs="Times New Roman"/>
          <w:b/>
          <w:bCs/>
          <w:sz w:val="28"/>
          <w:szCs w:val="28"/>
        </w:rPr>
        <w:t>Краснодарского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r w:rsidR="00D039F3">
        <w:rPr>
          <w:color w:val="auto"/>
          <w:sz w:val="28"/>
          <w:szCs w:val="28"/>
        </w:rPr>
        <w:t>Краснодарского</w:t>
      </w:r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Default="00E97D70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C269CB">
        <w:rPr>
          <w:rFonts w:ascii="Times New Roman" w:hAnsi="Times New Roman" w:cs="Times New Roman"/>
          <w:sz w:val="28"/>
          <w:szCs w:val="28"/>
        </w:rPr>
        <w:t>24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C269CB">
        <w:rPr>
          <w:rFonts w:ascii="Times New Roman" w:hAnsi="Times New Roman" w:cs="Times New Roman"/>
          <w:sz w:val="28"/>
          <w:szCs w:val="28"/>
        </w:rPr>
        <w:t xml:space="preserve">  №  10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мотр</w:t>
      </w:r>
      <w:r w:rsidR="00C269CB">
        <w:rPr>
          <w:rFonts w:ascii="Times New Roman" w:hAnsi="Times New Roman" w:cs="Times New Roman"/>
          <w:sz w:val="28"/>
          <w:szCs w:val="28"/>
        </w:rPr>
        <w:t>ен резервный фонд в размере 0,5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="00C269CB">
        <w:rPr>
          <w:rFonts w:ascii="Times New Roman" w:hAnsi="Times New Roman" w:cs="Times New Roman"/>
          <w:sz w:val="28"/>
          <w:szCs w:val="28"/>
        </w:rPr>
        <w:t xml:space="preserve"> сельсовета №10 от 24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 w:rsidR="00C269CB">
        <w:rPr>
          <w:rFonts w:ascii="Times New Roman" w:hAnsi="Times New Roman" w:cs="Times New Roman"/>
          <w:sz w:val="28"/>
          <w:szCs w:val="28"/>
        </w:rPr>
        <w:t>обязательств утверждён в сумме 0,0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047972">
        <w:rPr>
          <w:rFonts w:ascii="Times New Roman" w:hAnsi="Times New Roman" w:cs="Times New Roman"/>
          <w:sz w:val="28"/>
          <w:szCs w:val="28"/>
        </w:rPr>
        <w:t>При этом фактическое исполнение произведено в сумме 2,4 ты</w:t>
      </w:r>
      <w:r w:rsidR="00BB4118">
        <w:rPr>
          <w:rFonts w:ascii="Times New Roman" w:hAnsi="Times New Roman" w:cs="Times New Roman"/>
          <w:sz w:val="28"/>
          <w:szCs w:val="28"/>
        </w:rPr>
        <w:t>с. рублей, на доплату к пенсии.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r w:rsidR="00D039F3">
        <w:rPr>
          <w:rFonts w:ascii="Times New Roman" w:hAnsi="Times New Roman" w:cs="Times New Roman"/>
          <w:b/>
          <w:sz w:val="28"/>
          <w:szCs w:val="28"/>
        </w:rPr>
        <w:t>Краснодарского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B64A5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>(ф. 05013169)</w:t>
      </w:r>
      <w:r w:rsidR="009B64A5">
        <w:rPr>
          <w:rFonts w:ascii="Times New Roman" w:hAnsi="Times New Roman" w:cs="Times New Roman"/>
          <w:sz w:val="28"/>
          <w:szCs w:val="28"/>
        </w:rPr>
        <w:t xml:space="preserve"> по состоянию на 01.01.2022:</w:t>
      </w:r>
    </w:p>
    <w:p w:rsidR="009B64A5" w:rsidRDefault="009B64A5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13CE" w:rsidRPr="00FE174E">
        <w:rPr>
          <w:rFonts w:ascii="Times New Roman" w:hAnsi="Times New Roman" w:cs="Times New Roman"/>
          <w:sz w:val="28"/>
          <w:szCs w:val="28"/>
        </w:rPr>
        <w:t xml:space="preserve"> 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ка</w:t>
      </w:r>
      <w:r w:rsidR="008250D1">
        <w:rPr>
          <w:rFonts w:ascii="Times New Roman" w:hAnsi="Times New Roman" w:cs="Times New Roman"/>
          <w:sz w:val="28"/>
          <w:szCs w:val="28"/>
        </w:rPr>
        <w:t>я задолженность составляет 958,2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 w:rsidR="00C25D53">
        <w:rPr>
          <w:rFonts w:ascii="Times New Roman" w:hAnsi="Times New Roman" w:cs="Times New Roman"/>
          <w:sz w:val="28"/>
          <w:szCs w:val="28"/>
        </w:rPr>
        <w:t>тыс. рублей</w:t>
      </w:r>
      <w:r w:rsidR="008250D1">
        <w:rPr>
          <w:rFonts w:ascii="Times New Roman" w:hAnsi="Times New Roman" w:cs="Times New Roman"/>
          <w:sz w:val="28"/>
          <w:szCs w:val="28"/>
        </w:rPr>
        <w:t>, в том числе просроченная 521,6 тыс</w:t>
      </w:r>
      <w:proofErr w:type="gramStart"/>
      <w:r w:rsidR="008250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250D1">
        <w:rPr>
          <w:rFonts w:ascii="Times New Roman" w:hAnsi="Times New Roman" w:cs="Times New Roman"/>
          <w:sz w:val="28"/>
          <w:szCs w:val="28"/>
        </w:rPr>
        <w:t>ублей, долгосрочная 201,3 тыс.рублей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B64A5" w:rsidRPr="00FE174E" w:rsidRDefault="00755CF3" w:rsidP="009B6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B64A5" w:rsidRPr="00FE174E">
        <w:rPr>
          <w:rFonts w:ascii="Times New Roman" w:hAnsi="Times New Roman" w:cs="Times New Roman"/>
          <w:sz w:val="28"/>
          <w:szCs w:val="28"/>
        </w:rPr>
        <w:t xml:space="preserve">-  </w:t>
      </w:r>
      <w:r w:rsidR="00A1702D">
        <w:rPr>
          <w:rFonts w:ascii="Times New Roman" w:hAnsi="Times New Roman" w:cs="Times New Roman"/>
          <w:sz w:val="28"/>
          <w:szCs w:val="28"/>
        </w:rPr>
        <w:t>521,6</w:t>
      </w:r>
      <w:r w:rsidR="009B64A5" w:rsidRPr="00FE174E">
        <w:rPr>
          <w:rFonts w:ascii="Times New Roman" w:hAnsi="Times New Roman" w:cs="Times New Roman"/>
          <w:sz w:val="28"/>
          <w:szCs w:val="28"/>
        </w:rPr>
        <w:t xml:space="preserve"> тыс. рублей – по налоговым доходам;  </w:t>
      </w:r>
    </w:p>
    <w:p w:rsidR="009B64A5" w:rsidRDefault="00A1702D" w:rsidP="009B6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215,9</w:t>
      </w:r>
      <w:r w:rsidR="009B64A5" w:rsidRPr="00FE174E">
        <w:rPr>
          <w:rFonts w:ascii="Times New Roman" w:hAnsi="Times New Roman" w:cs="Times New Roman"/>
          <w:sz w:val="28"/>
          <w:szCs w:val="28"/>
        </w:rPr>
        <w:t xml:space="preserve"> тыс. рублей – по начислениям на доходы будущих периодов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702D" w:rsidRDefault="00A1702D" w:rsidP="009B6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- 19,4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– возмещение затрат за коммунальные услуги;</w:t>
      </w:r>
    </w:p>
    <w:p w:rsidR="00A1702D" w:rsidRPr="00FE174E" w:rsidRDefault="00A1702D" w:rsidP="009B6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- 201,3 тыс. рублей – доходы от сдачи в аренду земельных участков</w:t>
      </w:r>
    </w:p>
    <w:p w:rsidR="008113CE" w:rsidRPr="00755CF3" w:rsidRDefault="00BA71D9" w:rsidP="00BA7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B64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D53">
        <w:rPr>
          <w:rFonts w:ascii="Times New Roman" w:hAnsi="Times New Roman" w:cs="Times New Roman"/>
          <w:sz w:val="28"/>
          <w:szCs w:val="28"/>
        </w:rPr>
        <w:t>кредиторская</w:t>
      </w:r>
      <w:r w:rsidR="009B64A5">
        <w:rPr>
          <w:rFonts w:ascii="Times New Roman" w:hAnsi="Times New Roman" w:cs="Times New Roman"/>
          <w:sz w:val="28"/>
          <w:szCs w:val="28"/>
        </w:rPr>
        <w:t xml:space="preserve"> задолженность</w:t>
      </w:r>
      <w:r w:rsidR="00755CF3">
        <w:rPr>
          <w:rFonts w:ascii="Times New Roman" w:hAnsi="Times New Roman" w:cs="Times New Roman"/>
          <w:sz w:val="28"/>
          <w:szCs w:val="28"/>
        </w:rPr>
        <w:t xml:space="preserve"> по счету 302 «</w:t>
      </w:r>
      <w:r w:rsidR="00755CF3" w:rsidRPr="00755CF3">
        <w:rPr>
          <w:rFonts w:ascii="Times New Roman" w:hAnsi="Times New Roman" w:cs="Times New Roman"/>
          <w:sz w:val="28"/>
          <w:szCs w:val="28"/>
        </w:rPr>
        <w:t>Расчеты по принятым обязательствам»</w:t>
      </w:r>
      <w:r w:rsidR="00C25D53" w:rsidRPr="00755CF3">
        <w:rPr>
          <w:rFonts w:ascii="Times New Roman" w:hAnsi="Times New Roman" w:cs="Times New Roman"/>
          <w:sz w:val="28"/>
          <w:szCs w:val="28"/>
        </w:rPr>
        <w:t xml:space="preserve"> – 14,2</w:t>
      </w:r>
      <w:r w:rsidR="008113CE" w:rsidRPr="00755CF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34B58" w:rsidRPr="00755CF3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C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r w:rsidR="00D039F3">
        <w:rPr>
          <w:rFonts w:ascii="Times New Roman" w:hAnsi="Times New Roman" w:cs="Times New Roman"/>
          <w:b/>
          <w:sz w:val="28"/>
          <w:szCs w:val="28"/>
        </w:rPr>
        <w:t>Краснодарского</w:t>
      </w:r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A534A4">
        <w:rPr>
          <w:rFonts w:ascii="Times New Roman" w:hAnsi="Times New Roman" w:cs="Times New Roman"/>
          <w:sz w:val="28"/>
          <w:szCs w:val="28"/>
        </w:rPr>
        <w:t xml:space="preserve"> исполнен с превышением доходов над рас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6D46E4">
        <w:rPr>
          <w:rFonts w:ascii="Times New Roman" w:hAnsi="Times New Roman" w:cs="Times New Roman"/>
          <w:sz w:val="28"/>
          <w:szCs w:val="28"/>
        </w:rPr>
        <w:t>49,7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6D46E4">
        <w:rPr>
          <w:rFonts w:ascii="Times New Roman" w:hAnsi="Times New Roman" w:cs="Times New Roman"/>
          <w:sz w:val="28"/>
          <w:szCs w:val="28"/>
        </w:rPr>
        <w:t xml:space="preserve"> со ст.96 БК РФ в решении РСД 24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6D46E4">
        <w:rPr>
          <w:rFonts w:ascii="Times New Roman" w:hAnsi="Times New Roman" w:cs="Times New Roman"/>
          <w:sz w:val="28"/>
          <w:szCs w:val="28"/>
        </w:rPr>
        <w:t>г. №  10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r w:rsidR="00D039F3">
        <w:rPr>
          <w:rFonts w:ascii="Times New Roman" w:hAnsi="Times New Roman" w:cs="Times New Roman"/>
          <w:sz w:val="28"/>
          <w:szCs w:val="28"/>
        </w:rPr>
        <w:t>Краснодарский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</w:t>
      </w:r>
      <w:r w:rsidR="00B773DB" w:rsidRPr="00667EFE">
        <w:rPr>
          <w:rFonts w:ascii="Times New Roman" w:hAnsi="Times New Roman" w:cs="Times New Roman"/>
          <w:sz w:val="28"/>
          <w:szCs w:val="28"/>
        </w:rPr>
        <w:lastRenderedPageBreak/>
        <w:t xml:space="preserve">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6D46E4">
        <w:rPr>
          <w:rFonts w:ascii="Times New Roman" w:hAnsi="Times New Roman" w:cs="Times New Roman"/>
          <w:sz w:val="28"/>
          <w:szCs w:val="28"/>
        </w:rPr>
        <w:t>43,9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proofErr w:type="spellStart"/>
      <w:r w:rsidR="006D46E4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6D46E4">
        <w:rPr>
          <w:rFonts w:ascii="Times New Roman" w:hAnsi="Times New Roman" w:cs="Times New Roman"/>
          <w:sz w:val="28"/>
          <w:szCs w:val="28"/>
        </w:rPr>
        <w:t xml:space="preserve"> 49,7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6"/>
        <w:gridCol w:w="3184"/>
        <w:gridCol w:w="1620"/>
        <w:gridCol w:w="1440"/>
      </w:tblGrid>
      <w:tr w:rsidR="009B7BE2" w:rsidRPr="009B7BE2" w:rsidTr="00560F32">
        <w:trPr>
          <w:trHeight w:val="62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BE2" w:rsidRPr="009B7BE2" w:rsidRDefault="009B7BE2" w:rsidP="00560F32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7BE2">
              <w:rPr>
                <w:sz w:val="24"/>
                <w:szCs w:val="24"/>
              </w:rPr>
              <w:t xml:space="preserve">Код </w:t>
            </w:r>
          </w:p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9B7BE2" w:rsidRPr="009B7BE2" w:rsidTr="00560F32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4</w:t>
            </w:r>
          </w:p>
        </w:tc>
      </w:tr>
      <w:tr w:rsidR="009B7BE2" w:rsidRPr="009B7BE2" w:rsidTr="00945ED7">
        <w:trPr>
          <w:trHeight w:val="876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 xml:space="preserve">000 01 03 00 </w:t>
            </w:r>
            <w:proofErr w:type="spellStart"/>
            <w:r w:rsidRPr="009B7BE2">
              <w:rPr>
                <w:rFonts w:ascii="Times New Roman" w:hAnsi="Times New Roman" w:cs="Times New Roman"/>
              </w:rPr>
              <w:t>00</w:t>
            </w:r>
            <w:proofErr w:type="spellEnd"/>
            <w:r w:rsidRPr="009B7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7BE2">
              <w:rPr>
                <w:rFonts w:ascii="Times New Roman" w:hAnsi="Times New Roman" w:cs="Times New Roman"/>
              </w:rPr>
              <w:t>00</w:t>
            </w:r>
            <w:proofErr w:type="spellEnd"/>
            <w:r w:rsidRPr="009B7BE2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945ED7">
            <w:pPr>
              <w:jc w:val="both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Бюджетные кредиты от дру</w:t>
            </w:r>
            <w:r>
              <w:rPr>
                <w:rFonts w:ascii="Times New Roman" w:hAnsi="Times New Roman" w:cs="Times New Roman"/>
              </w:rPr>
              <w:t xml:space="preserve">гих бюджетов  бюджетной системы </w:t>
            </w:r>
            <w:r w:rsidR="00945ED7">
              <w:rPr>
                <w:rFonts w:ascii="Times New Roman" w:hAnsi="Times New Roman" w:cs="Times New Roman"/>
              </w:rPr>
              <w:t>РФ</w:t>
            </w:r>
            <w:r w:rsidRPr="009B7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-148,6</w:t>
            </w:r>
          </w:p>
        </w:tc>
      </w:tr>
      <w:tr w:rsidR="009B7BE2" w:rsidRPr="009B7BE2" w:rsidTr="00560F32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 xml:space="preserve">000 01 06 00 </w:t>
            </w:r>
            <w:proofErr w:type="spellStart"/>
            <w:r w:rsidRPr="009B7BE2">
              <w:rPr>
                <w:rFonts w:ascii="Times New Roman" w:hAnsi="Times New Roman" w:cs="Times New Roman"/>
              </w:rPr>
              <w:t>00</w:t>
            </w:r>
            <w:proofErr w:type="spellEnd"/>
            <w:r w:rsidRPr="009B7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7BE2">
              <w:rPr>
                <w:rFonts w:ascii="Times New Roman" w:hAnsi="Times New Roman" w:cs="Times New Roman"/>
              </w:rPr>
              <w:t>00</w:t>
            </w:r>
            <w:proofErr w:type="spellEnd"/>
            <w:r w:rsidRPr="009B7BE2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both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Иные источники финансирования дефицитов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7BE2" w:rsidRPr="009B7BE2" w:rsidTr="00945ED7">
        <w:trPr>
          <w:trHeight w:val="823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 w:rsidRPr="009B7BE2">
              <w:rPr>
                <w:rFonts w:ascii="Times New Roman" w:hAnsi="Times New Roman" w:cs="Times New Roman"/>
              </w:rPr>
              <w:t>00</w:t>
            </w:r>
            <w:proofErr w:type="spellEnd"/>
            <w:r w:rsidRPr="009B7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7BE2">
              <w:rPr>
                <w:rFonts w:ascii="Times New Roman" w:hAnsi="Times New Roman" w:cs="Times New Roman"/>
              </w:rPr>
              <w:t>00</w:t>
            </w:r>
            <w:proofErr w:type="spellEnd"/>
            <w:r w:rsidRPr="009B7BE2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both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2" w:rsidRPr="009B7BE2" w:rsidRDefault="009B7BE2" w:rsidP="00560F32">
            <w:pPr>
              <w:jc w:val="center"/>
              <w:rPr>
                <w:rFonts w:ascii="Times New Roman" w:hAnsi="Times New Roman" w:cs="Times New Roman"/>
              </w:rPr>
            </w:pPr>
            <w:r w:rsidRPr="009B7BE2">
              <w:rPr>
                <w:rFonts w:ascii="Times New Roman" w:hAnsi="Times New Roman" w:cs="Times New Roman"/>
              </w:rPr>
              <w:t>98,9</w:t>
            </w:r>
          </w:p>
        </w:tc>
      </w:tr>
    </w:tbl>
    <w:p w:rsidR="00276216" w:rsidRPr="003F0F5B" w:rsidRDefault="00276216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r w:rsidR="00D039F3">
        <w:rPr>
          <w:rFonts w:ascii="Times New Roman" w:hAnsi="Times New Roman" w:cs="Times New Roman"/>
          <w:color w:val="000000"/>
          <w:sz w:val="28"/>
          <w:szCs w:val="28"/>
        </w:rPr>
        <w:t>Краснодарского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9C4DDD">
        <w:rPr>
          <w:rFonts w:ascii="Times New Roman" w:hAnsi="Times New Roman" w:cs="Times New Roman"/>
          <w:color w:val="000000"/>
          <w:sz w:val="28"/>
          <w:szCs w:val="28"/>
        </w:rPr>
        <w:t>24.12.2020 №10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r w:rsidR="00D039F3">
        <w:rPr>
          <w:rFonts w:ascii="Times New Roman" w:hAnsi="Times New Roman" w:cs="Times New Roman"/>
          <w:color w:val="000000"/>
          <w:sz w:val="28"/>
          <w:szCs w:val="28"/>
        </w:rPr>
        <w:t>Краснодарский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r w:rsidR="00D039F3">
        <w:rPr>
          <w:rFonts w:ascii="Times New Roman" w:hAnsi="Times New Roman" w:cs="Times New Roman"/>
          <w:color w:val="000000"/>
          <w:sz w:val="28"/>
          <w:szCs w:val="28"/>
        </w:rPr>
        <w:t>Краснодарского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r w:rsidR="00D039F3">
        <w:rPr>
          <w:color w:val="000000"/>
          <w:sz w:val="28"/>
          <w:szCs w:val="28"/>
        </w:rPr>
        <w:t>Краснодарского</w:t>
      </w:r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</w:t>
      </w:r>
      <w:r w:rsidRPr="004B421E">
        <w:rPr>
          <w:color w:val="000000"/>
          <w:sz w:val="28"/>
          <w:szCs w:val="28"/>
        </w:rPr>
        <w:lastRenderedPageBreak/>
        <w:t xml:space="preserve">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800A12" w:rsidRPr="00800A12">
        <w:rPr>
          <w:sz w:val="28"/>
          <w:szCs w:val="28"/>
        </w:rPr>
        <w:t xml:space="preserve"> Инструкции  191н в пояснительной записке,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5E01F8" w:rsidRPr="0053225D" w:rsidRDefault="005E01F8" w:rsidP="005E0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раздел</w:t>
      </w:r>
      <w:r w:rsidRPr="00532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"Прочие вопросы деятельности субъекта бюджетной отчетности"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- </w:t>
      </w:r>
      <w:r w:rsidRPr="00172551">
        <w:rPr>
          <w:sz w:val="28"/>
          <w:szCs w:val="28"/>
        </w:rPr>
        <w:t>Сведения об исполнении текстовых статей закона (решения) о бюджете</w:t>
      </w:r>
      <w:r w:rsidR="00770C62" w:rsidRPr="00172551">
        <w:rPr>
          <w:sz w:val="28"/>
          <w:szCs w:val="28"/>
        </w:rPr>
        <w:t xml:space="preserve">, </w:t>
      </w:r>
      <w:r w:rsidR="00770C62" w:rsidRPr="0053225D">
        <w:rPr>
          <w:sz w:val="28"/>
          <w:szCs w:val="28"/>
          <w:bdr w:val="none" w:sz="0" w:space="0" w:color="auto" w:frame="1"/>
        </w:rPr>
        <w:t>однако данные таблицы должны содержать результаты анализа исполнения текстовых статей решения о бюджете, имеющих отношен</w:t>
      </w:r>
      <w:r w:rsidR="00770C62" w:rsidRPr="00172551">
        <w:rPr>
          <w:sz w:val="28"/>
          <w:szCs w:val="28"/>
          <w:bdr w:val="none" w:sz="0" w:space="0" w:color="auto" w:frame="1"/>
        </w:rPr>
        <w:t xml:space="preserve">ие к деятельности </w:t>
      </w:r>
      <w:r w:rsidR="00D039F3">
        <w:rPr>
          <w:sz w:val="28"/>
          <w:szCs w:val="28"/>
          <w:bdr w:val="none" w:sz="0" w:space="0" w:color="auto" w:frame="1"/>
        </w:rPr>
        <w:t>Краснодарского</w:t>
      </w:r>
      <w:r w:rsidR="00770C62" w:rsidRPr="0053225D">
        <w:rPr>
          <w:sz w:val="28"/>
          <w:szCs w:val="28"/>
          <w:bdr w:val="none" w:sz="0" w:space="0" w:color="auto" w:frame="1"/>
        </w:rPr>
        <w:t xml:space="preserve"> сельсовета</w:t>
      </w:r>
      <w:r w:rsidRPr="00172551">
        <w:rPr>
          <w:sz w:val="28"/>
          <w:szCs w:val="28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800A12" w:rsidRDefault="00800A12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r w:rsidR="00D039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Краснодарский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постановления Администрации сельсовета об утверждении отчетов об исполнении бюджета сельсовета за первый квартал, пол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="00D039F3">
        <w:rPr>
          <w:rFonts w:ascii="Times New Roman" w:eastAsia="Times New Roman" w:hAnsi="Times New Roman" w:cs="Times New Roman"/>
          <w:sz w:val="28"/>
          <w:szCs w:val="28"/>
        </w:rPr>
        <w:t>Краснодарский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lastRenderedPageBreak/>
        <w:t>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r w:rsidR="00D039F3">
        <w:rPr>
          <w:rFonts w:ascii="Times New Roman" w:eastAsia="Times New Roman" w:hAnsi="Times New Roman" w:cs="Times New Roman"/>
          <w:sz w:val="28"/>
          <w:szCs w:val="28"/>
        </w:rPr>
        <w:t>Краснодарского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r w:rsidR="00D039F3">
        <w:rPr>
          <w:rFonts w:ascii="Times New Roman" w:hAnsi="Times New Roman" w:cs="Times New Roman"/>
          <w:color w:val="000000"/>
          <w:sz w:val="28"/>
          <w:szCs w:val="28"/>
        </w:rPr>
        <w:t>Краснодарского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9C4DDD">
        <w:rPr>
          <w:rFonts w:ascii="Times New Roman" w:hAnsi="Times New Roman" w:cs="Times New Roman"/>
          <w:color w:val="000000"/>
          <w:sz w:val="28"/>
          <w:szCs w:val="28"/>
        </w:rPr>
        <w:t>24.12.2020 №10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D039F3">
        <w:rPr>
          <w:rFonts w:ascii="Times New Roman" w:hAnsi="Times New Roman" w:cs="Times New Roman"/>
          <w:color w:val="000000"/>
          <w:sz w:val="28"/>
          <w:szCs w:val="28"/>
        </w:rPr>
        <w:t>Краснодарский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  <w:r w:rsidR="0018414F">
        <w:rPr>
          <w:rFonts w:ascii="Times New Roman" w:hAnsi="Times New Roman" w:cs="Times New Roman"/>
          <w:sz w:val="28"/>
          <w:szCs w:val="28"/>
        </w:rPr>
        <w:t>Однако и</w:t>
      </w:r>
      <w:r w:rsidR="00CB32C0" w:rsidRPr="00CB32C0">
        <w:rPr>
          <w:rFonts w:ascii="Times New Roman" w:hAnsi="Times New Roman" w:cs="Times New Roman"/>
          <w:sz w:val="28"/>
          <w:szCs w:val="28"/>
        </w:rPr>
        <w:t>меют место быть отдельные недостатки и нарушения</w:t>
      </w:r>
      <w:r w:rsidR="0018414F">
        <w:rPr>
          <w:rFonts w:ascii="Times New Roman" w:hAnsi="Times New Roman" w:cs="Times New Roman"/>
          <w:sz w:val="28"/>
          <w:szCs w:val="28"/>
        </w:rPr>
        <w:t>.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r w:rsidR="00D039F3">
        <w:rPr>
          <w:rFonts w:ascii="Times New Roman" w:eastAsia="Times New Roman" w:hAnsi="Times New Roman" w:cs="Times New Roman"/>
          <w:sz w:val="28"/>
          <w:szCs w:val="28"/>
        </w:rPr>
        <w:t>Краснодарского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C4DDD">
        <w:rPr>
          <w:rFonts w:ascii="Times New Roman" w:hAnsi="Times New Roman" w:cs="Times New Roman"/>
          <w:sz w:val="28"/>
          <w:szCs w:val="28"/>
        </w:rPr>
        <w:t xml:space="preserve">и Постановления администрации Краснодарского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D039F3">
        <w:rPr>
          <w:rFonts w:ascii="Times New Roman" w:hAnsi="Times New Roman" w:cs="Times New Roman"/>
          <w:sz w:val="28"/>
          <w:szCs w:val="28"/>
        </w:rPr>
        <w:t>Краснодарского</w:t>
      </w:r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r w:rsidR="00D039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Краснодарский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D039F3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Краснодарскому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Краснодарский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648" w:rsidRDefault="00B25648" w:rsidP="00527227">
      <w:pPr>
        <w:spacing w:after="0" w:line="240" w:lineRule="auto"/>
      </w:pPr>
      <w:r>
        <w:separator/>
      </w:r>
    </w:p>
  </w:endnote>
  <w:endnote w:type="continuationSeparator" w:id="0">
    <w:p w:rsidR="00B25648" w:rsidRDefault="00B25648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648" w:rsidRDefault="00B25648" w:rsidP="00527227">
      <w:pPr>
        <w:spacing w:after="0" w:line="240" w:lineRule="auto"/>
      </w:pPr>
      <w:r>
        <w:separator/>
      </w:r>
    </w:p>
  </w:footnote>
  <w:footnote w:type="continuationSeparator" w:id="0">
    <w:p w:rsidR="00B25648" w:rsidRDefault="00B25648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241B40" w:rsidRDefault="002E6ABB">
        <w:pPr>
          <w:pStyle w:val="a7"/>
          <w:jc w:val="center"/>
        </w:pPr>
        <w:fldSimple w:instr=" PAGE   \* MERGEFORMAT ">
          <w:r w:rsidR="00EE0E6B">
            <w:rPr>
              <w:noProof/>
            </w:rPr>
            <w:t>11</w:t>
          </w:r>
        </w:fldSimple>
      </w:p>
    </w:sdtContent>
  </w:sdt>
  <w:p w:rsidR="00241B40" w:rsidRDefault="00241B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0B60"/>
    <w:rsid w:val="00006F42"/>
    <w:rsid w:val="000104E1"/>
    <w:rsid w:val="00014D0E"/>
    <w:rsid w:val="00047972"/>
    <w:rsid w:val="00052292"/>
    <w:rsid w:val="00063E46"/>
    <w:rsid w:val="0009449A"/>
    <w:rsid w:val="0009716E"/>
    <w:rsid w:val="000A0135"/>
    <w:rsid w:val="000B078A"/>
    <w:rsid w:val="000B0E6D"/>
    <w:rsid w:val="000B4E74"/>
    <w:rsid w:val="000E4873"/>
    <w:rsid w:val="00115819"/>
    <w:rsid w:val="00124BEE"/>
    <w:rsid w:val="001260C3"/>
    <w:rsid w:val="00126C9A"/>
    <w:rsid w:val="00132180"/>
    <w:rsid w:val="00133393"/>
    <w:rsid w:val="00142903"/>
    <w:rsid w:val="001616A3"/>
    <w:rsid w:val="00164FD0"/>
    <w:rsid w:val="001677F6"/>
    <w:rsid w:val="001719CA"/>
    <w:rsid w:val="00172551"/>
    <w:rsid w:val="0018414F"/>
    <w:rsid w:val="001946CA"/>
    <w:rsid w:val="00197E07"/>
    <w:rsid w:val="001A47CE"/>
    <w:rsid w:val="001C0E46"/>
    <w:rsid w:val="001D6414"/>
    <w:rsid w:val="002069FD"/>
    <w:rsid w:val="00215FA7"/>
    <w:rsid w:val="002350AC"/>
    <w:rsid w:val="00241B40"/>
    <w:rsid w:val="00251082"/>
    <w:rsid w:val="00263B39"/>
    <w:rsid w:val="002703B4"/>
    <w:rsid w:val="00276216"/>
    <w:rsid w:val="00280DC8"/>
    <w:rsid w:val="00282361"/>
    <w:rsid w:val="00293875"/>
    <w:rsid w:val="002B2E0D"/>
    <w:rsid w:val="002B52CF"/>
    <w:rsid w:val="002B7602"/>
    <w:rsid w:val="002B7942"/>
    <w:rsid w:val="002C0201"/>
    <w:rsid w:val="002C0889"/>
    <w:rsid w:val="002E237F"/>
    <w:rsid w:val="002E3077"/>
    <w:rsid w:val="002E6ABB"/>
    <w:rsid w:val="002F4C2B"/>
    <w:rsid w:val="002F6785"/>
    <w:rsid w:val="002F6B9A"/>
    <w:rsid w:val="003075A4"/>
    <w:rsid w:val="0032271D"/>
    <w:rsid w:val="00327C4F"/>
    <w:rsid w:val="0033356D"/>
    <w:rsid w:val="00333EEE"/>
    <w:rsid w:val="00334A5D"/>
    <w:rsid w:val="0033617B"/>
    <w:rsid w:val="00343ADD"/>
    <w:rsid w:val="00346CC7"/>
    <w:rsid w:val="00386350"/>
    <w:rsid w:val="003B0EBE"/>
    <w:rsid w:val="003C221B"/>
    <w:rsid w:val="003C6885"/>
    <w:rsid w:val="003D1D2F"/>
    <w:rsid w:val="003E5B0F"/>
    <w:rsid w:val="003E6DBA"/>
    <w:rsid w:val="00401F3E"/>
    <w:rsid w:val="004167AE"/>
    <w:rsid w:val="0042318C"/>
    <w:rsid w:val="004276F4"/>
    <w:rsid w:val="0043082E"/>
    <w:rsid w:val="00444D75"/>
    <w:rsid w:val="004761F3"/>
    <w:rsid w:val="00486768"/>
    <w:rsid w:val="0049239B"/>
    <w:rsid w:val="00496E45"/>
    <w:rsid w:val="004A34FE"/>
    <w:rsid w:val="004A7A9D"/>
    <w:rsid w:val="004B421E"/>
    <w:rsid w:val="004C0445"/>
    <w:rsid w:val="004D4AEF"/>
    <w:rsid w:val="004E0F4F"/>
    <w:rsid w:val="004E1BBC"/>
    <w:rsid w:val="004F603D"/>
    <w:rsid w:val="00524687"/>
    <w:rsid w:val="005258A8"/>
    <w:rsid w:val="00527227"/>
    <w:rsid w:val="00532516"/>
    <w:rsid w:val="005462B0"/>
    <w:rsid w:val="00565C6D"/>
    <w:rsid w:val="00576C4B"/>
    <w:rsid w:val="00583580"/>
    <w:rsid w:val="00585A64"/>
    <w:rsid w:val="00586BA1"/>
    <w:rsid w:val="00590F44"/>
    <w:rsid w:val="00597481"/>
    <w:rsid w:val="005977B7"/>
    <w:rsid w:val="005A1370"/>
    <w:rsid w:val="005B14D7"/>
    <w:rsid w:val="005B321C"/>
    <w:rsid w:val="005B437F"/>
    <w:rsid w:val="005B6FA0"/>
    <w:rsid w:val="005C416F"/>
    <w:rsid w:val="005C6002"/>
    <w:rsid w:val="005E01F8"/>
    <w:rsid w:val="005E0363"/>
    <w:rsid w:val="005E09D4"/>
    <w:rsid w:val="005F3AB7"/>
    <w:rsid w:val="005F6F3F"/>
    <w:rsid w:val="00605033"/>
    <w:rsid w:val="00614408"/>
    <w:rsid w:val="006179AA"/>
    <w:rsid w:val="006364D2"/>
    <w:rsid w:val="00644167"/>
    <w:rsid w:val="00653137"/>
    <w:rsid w:val="00655906"/>
    <w:rsid w:val="0065679B"/>
    <w:rsid w:val="00667EFE"/>
    <w:rsid w:val="00670F09"/>
    <w:rsid w:val="00674FD5"/>
    <w:rsid w:val="006854FB"/>
    <w:rsid w:val="006A74E6"/>
    <w:rsid w:val="006B34EE"/>
    <w:rsid w:val="006B555F"/>
    <w:rsid w:val="006B56EF"/>
    <w:rsid w:val="006C131A"/>
    <w:rsid w:val="006C1AA6"/>
    <w:rsid w:val="006C2E2F"/>
    <w:rsid w:val="006C4FB2"/>
    <w:rsid w:val="006D46E4"/>
    <w:rsid w:val="006E47E2"/>
    <w:rsid w:val="00702EAF"/>
    <w:rsid w:val="00710550"/>
    <w:rsid w:val="007218FE"/>
    <w:rsid w:val="00721AF5"/>
    <w:rsid w:val="00723183"/>
    <w:rsid w:val="007235F9"/>
    <w:rsid w:val="00731B4B"/>
    <w:rsid w:val="00733D03"/>
    <w:rsid w:val="0074123F"/>
    <w:rsid w:val="0075007E"/>
    <w:rsid w:val="00755CF3"/>
    <w:rsid w:val="007565EF"/>
    <w:rsid w:val="00757851"/>
    <w:rsid w:val="00763957"/>
    <w:rsid w:val="00764C2B"/>
    <w:rsid w:val="007667F6"/>
    <w:rsid w:val="00770C62"/>
    <w:rsid w:val="0077603F"/>
    <w:rsid w:val="00783C91"/>
    <w:rsid w:val="00794B0A"/>
    <w:rsid w:val="00797E76"/>
    <w:rsid w:val="007A0A82"/>
    <w:rsid w:val="007A6E67"/>
    <w:rsid w:val="007B65A2"/>
    <w:rsid w:val="007C386F"/>
    <w:rsid w:val="007C45F6"/>
    <w:rsid w:val="007C79E5"/>
    <w:rsid w:val="007D1251"/>
    <w:rsid w:val="007F6FA0"/>
    <w:rsid w:val="00800A12"/>
    <w:rsid w:val="008113CE"/>
    <w:rsid w:val="008246C8"/>
    <w:rsid w:val="008250D1"/>
    <w:rsid w:val="0083069B"/>
    <w:rsid w:val="008469C9"/>
    <w:rsid w:val="0085471E"/>
    <w:rsid w:val="0085631C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D1550"/>
    <w:rsid w:val="008D5D01"/>
    <w:rsid w:val="008D7C42"/>
    <w:rsid w:val="008E6258"/>
    <w:rsid w:val="009001E4"/>
    <w:rsid w:val="00903B3F"/>
    <w:rsid w:val="009238B2"/>
    <w:rsid w:val="00927611"/>
    <w:rsid w:val="00933E21"/>
    <w:rsid w:val="00934B58"/>
    <w:rsid w:val="00945ED7"/>
    <w:rsid w:val="009607D9"/>
    <w:rsid w:val="00972DA4"/>
    <w:rsid w:val="009732EB"/>
    <w:rsid w:val="0098263C"/>
    <w:rsid w:val="009B27A3"/>
    <w:rsid w:val="009B64A5"/>
    <w:rsid w:val="009B682F"/>
    <w:rsid w:val="009B7BE2"/>
    <w:rsid w:val="009C4DDD"/>
    <w:rsid w:val="009C7002"/>
    <w:rsid w:val="009E3B4E"/>
    <w:rsid w:val="009E476B"/>
    <w:rsid w:val="009F49DE"/>
    <w:rsid w:val="009F4BE1"/>
    <w:rsid w:val="00A03C76"/>
    <w:rsid w:val="00A06AA0"/>
    <w:rsid w:val="00A15997"/>
    <w:rsid w:val="00A1702D"/>
    <w:rsid w:val="00A20307"/>
    <w:rsid w:val="00A24A68"/>
    <w:rsid w:val="00A26A93"/>
    <w:rsid w:val="00A30BD7"/>
    <w:rsid w:val="00A35BC2"/>
    <w:rsid w:val="00A474DD"/>
    <w:rsid w:val="00A534A4"/>
    <w:rsid w:val="00A54C8B"/>
    <w:rsid w:val="00A66AFA"/>
    <w:rsid w:val="00A66B19"/>
    <w:rsid w:val="00A706F3"/>
    <w:rsid w:val="00AA04B8"/>
    <w:rsid w:val="00AA26CF"/>
    <w:rsid w:val="00AB23B1"/>
    <w:rsid w:val="00AD2837"/>
    <w:rsid w:val="00AD2E52"/>
    <w:rsid w:val="00B12EE1"/>
    <w:rsid w:val="00B14990"/>
    <w:rsid w:val="00B15FE1"/>
    <w:rsid w:val="00B25648"/>
    <w:rsid w:val="00B25C6D"/>
    <w:rsid w:val="00B26326"/>
    <w:rsid w:val="00B27364"/>
    <w:rsid w:val="00B4700F"/>
    <w:rsid w:val="00B711DF"/>
    <w:rsid w:val="00B76775"/>
    <w:rsid w:val="00B773DB"/>
    <w:rsid w:val="00B83D6D"/>
    <w:rsid w:val="00B910AB"/>
    <w:rsid w:val="00B97358"/>
    <w:rsid w:val="00BA04B1"/>
    <w:rsid w:val="00BA71D9"/>
    <w:rsid w:val="00BA787F"/>
    <w:rsid w:val="00BB4118"/>
    <w:rsid w:val="00BB6F49"/>
    <w:rsid w:val="00BD3F57"/>
    <w:rsid w:val="00BD710E"/>
    <w:rsid w:val="00C04527"/>
    <w:rsid w:val="00C25D53"/>
    <w:rsid w:val="00C269CB"/>
    <w:rsid w:val="00C310DA"/>
    <w:rsid w:val="00C343F4"/>
    <w:rsid w:val="00C34C1B"/>
    <w:rsid w:val="00C5464F"/>
    <w:rsid w:val="00C62EDA"/>
    <w:rsid w:val="00C64E65"/>
    <w:rsid w:val="00C73FB6"/>
    <w:rsid w:val="00C777BD"/>
    <w:rsid w:val="00C809BE"/>
    <w:rsid w:val="00C921F3"/>
    <w:rsid w:val="00CA607F"/>
    <w:rsid w:val="00CB16D4"/>
    <w:rsid w:val="00CB32C0"/>
    <w:rsid w:val="00CC2F39"/>
    <w:rsid w:val="00CD0497"/>
    <w:rsid w:val="00CF0F83"/>
    <w:rsid w:val="00CF394A"/>
    <w:rsid w:val="00D039F3"/>
    <w:rsid w:val="00D24666"/>
    <w:rsid w:val="00D27E7F"/>
    <w:rsid w:val="00D3160D"/>
    <w:rsid w:val="00D34404"/>
    <w:rsid w:val="00D345BB"/>
    <w:rsid w:val="00D429A1"/>
    <w:rsid w:val="00D60C71"/>
    <w:rsid w:val="00D67C13"/>
    <w:rsid w:val="00D95DC5"/>
    <w:rsid w:val="00D9657A"/>
    <w:rsid w:val="00DA0110"/>
    <w:rsid w:val="00DA137D"/>
    <w:rsid w:val="00DA5357"/>
    <w:rsid w:val="00DB60EC"/>
    <w:rsid w:val="00DB7C02"/>
    <w:rsid w:val="00DD0526"/>
    <w:rsid w:val="00DD4251"/>
    <w:rsid w:val="00DE73CD"/>
    <w:rsid w:val="00E019F5"/>
    <w:rsid w:val="00E06367"/>
    <w:rsid w:val="00E2523F"/>
    <w:rsid w:val="00E3749C"/>
    <w:rsid w:val="00E42998"/>
    <w:rsid w:val="00E57A0A"/>
    <w:rsid w:val="00E62C3E"/>
    <w:rsid w:val="00E81718"/>
    <w:rsid w:val="00E81B51"/>
    <w:rsid w:val="00E97D70"/>
    <w:rsid w:val="00EC15A1"/>
    <w:rsid w:val="00ED1AAE"/>
    <w:rsid w:val="00ED3198"/>
    <w:rsid w:val="00ED4FDF"/>
    <w:rsid w:val="00EE0439"/>
    <w:rsid w:val="00EE0E6B"/>
    <w:rsid w:val="00EE10CA"/>
    <w:rsid w:val="00EE41E9"/>
    <w:rsid w:val="00F00118"/>
    <w:rsid w:val="00F06FAA"/>
    <w:rsid w:val="00F2152D"/>
    <w:rsid w:val="00F24F44"/>
    <w:rsid w:val="00F5113F"/>
    <w:rsid w:val="00F57E35"/>
    <w:rsid w:val="00F66CD3"/>
    <w:rsid w:val="00F72818"/>
    <w:rsid w:val="00F72C1F"/>
    <w:rsid w:val="00F744AD"/>
    <w:rsid w:val="00F74B49"/>
    <w:rsid w:val="00F75CED"/>
    <w:rsid w:val="00F84CF3"/>
    <w:rsid w:val="00F902A1"/>
    <w:rsid w:val="00F930FC"/>
    <w:rsid w:val="00FA0AD5"/>
    <w:rsid w:val="00FA0BD8"/>
    <w:rsid w:val="00FB2CFE"/>
    <w:rsid w:val="00FB3363"/>
    <w:rsid w:val="00FB366A"/>
    <w:rsid w:val="00FB44B8"/>
    <w:rsid w:val="00FD1D01"/>
    <w:rsid w:val="00FD2107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5E9AB-C045-437F-A641-09C77BE2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11</Pages>
  <Words>3393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253</cp:revision>
  <dcterms:created xsi:type="dcterms:W3CDTF">2022-02-08T04:26:00Z</dcterms:created>
  <dcterms:modified xsi:type="dcterms:W3CDTF">2022-04-18T06:55:00Z</dcterms:modified>
</cp:coreProperties>
</file>