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B0647">
        <w:rPr>
          <w:b/>
          <w:sz w:val="32"/>
          <w:szCs w:val="32"/>
          <w:lang w:eastAsia="ar-SA"/>
        </w:rPr>
        <w:t>1</w:t>
      </w:r>
      <w:r w:rsidR="00F85D95">
        <w:rPr>
          <w:b/>
          <w:sz w:val="32"/>
          <w:szCs w:val="32"/>
          <w:lang w:eastAsia="ar-SA"/>
        </w:rPr>
        <w:t>1</w:t>
      </w:r>
      <w:r w:rsidR="007D3BDA">
        <w:rPr>
          <w:b/>
          <w:sz w:val="32"/>
          <w:szCs w:val="32"/>
          <w:lang w:eastAsia="ar-SA"/>
        </w:rPr>
        <w:t>.</w:t>
      </w:r>
      <w:r w:rsidR="00E4579F">
        <w:rPr>
          <w:b/>
          <w:sz w:val="32"/>
          <w:szCs w:val="32"/>
          <w:lang w:eastAsia="ar-SA"/>
        </w:rPr>
        <w:t>01</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E4579F" w:rsidRPr="00E4579F" w:rsidRDefault="00E4579F" w:rsidP="00E4579F">
      <w:pPr>
        <w:tabs>
          <w:tab w:val="left" w:pos="7800"/>
        </w:tabs>
        <w:jc w:val="center"/>
        <w:rPr>
          <w:sz w:val="32"/>
          <w:szCs w:val="32"/>
        </w:rPr>
      </w:pPr>
      <w:r w:rsidRPr="00E4579F">
        <w:rPr>
          <w:b/>
          <w:sz w:val="32"/>
          <w:szCs w:val="32"/>
        </w:rPr>
        <w:t>ПРОГНОЗ-КОНСУЛЬТАЦИЯ О НЕБЛАГОПРИЯТНЫХ ПОГОДНЫХ УСЛОВИЯХ</w:t>
      </w:r>
      <w:r w:rsidRPr="00E4579F">
        <w:rPr>
          <w:sz w:val="32"/>
          <w:szCs w:val="32"/>
        </w:rPr>
        <w:t xml:space="preserve"> </w:t>
      </w:r>
    </w:p>
    <w:p w:rsidR="007B0647" w:rsidRPr="007B0647" w:rsidRDefault="007B0647" w:rsidP="001E1674">
      <w:pPr>
        <w:tabs>
          <w:tab w:val="left" w:pos="7800"/>
        </w:tabs>
        <w:jc w:val="center"/>
        <w:rPr>
          <w:sz w:val="28"/>
          <w:szCs w:val="28"/>
        </w:rPr>
      </w:pPr>
      <w:r w:rsidRPr="007B0647">
        <w:rPr>
          <w:sz w:val="28"/>
          <w:szCs w:val="28"/>
        </w:rPr>
        <w:t>В Алтайском крае днем 10 января и ночью 11 января 2025 года ожидается снег, временами сильный, метели, усиление ветра до 15-20 м/с. На дорогах местами снежные заносы, сильная гололедица.</w:t>
      </w:r>
    </w:p>
    <w:p w:rsidR="007B0647" w:rsidRDefault="007B0647" w:rsidP="001E1674">
      <w:pPr>
        <w:tabs>
          <w:tab w:val="left" w:pos="7800"/>
        </w:tabs>
        <w:jc w:val="center"/>
      </w:pPr>
    </w:p>
    <w:p w:rsidR="005159A2" w:rsidRPr="0037201E" w:rsidRDefault="00F15480" w:rsidP="001E1674">
      <w:pPr>
        <w:tabs>
          <w:tab w:val="left" w:pos="7800"/>
        </w:tabs>
        <w:jc w:val="center"/>
        <w:rPr>
          <w:b/>
          <w:sz w:val="32"/>
          <w:szCs w:val="32"/>
        </w:rPr>
      </w:pPr>
      <w:r w:rsidRPr="0037201E">
        <w:rPr>
          <w:b/>
          <w:sz w:val="32"/>
          <w:szCs w:val="32"/>
        </w:rPr>
        <w:t xml:space="preserve">ПРОГНОЗ ПОГОДЫ НА </w:t>
      </w:r>
      <w:r w:rsidR="007B0647">
        <w:rPr>
          <w:b/>
          <w:sz w:val="32"/>
          <w:szCs w:val="32"/>
        </w:rPr>
        <w:t>1</w:t>
      </w:r>
      <w:r w:rsidR="00F85D95">
        <w:rPr>
          <w:b/>
          <w:sz w:val="32"/>
          <w:szCs w:val="32"/>
        </w:rPr>
        <w:t>1</w:t>
      </w:r>
      <w:r w:rsidR="00E4579F">
        <w:rPr>
          <w:b/>
          <w:sz w:val="32"/>
          <w:szCs w:val="32"/>
        </w:rPr>
        <w:t>.01</w:t>
      </w:r>
      <w:r w:rsidRPr="0037201E">
        <w:rPr>
          <w:b/>
          <w:sz w:val="32"/>
          <w:szCs w:val="32"/>
        </w:rPr>
        <w:t>.202</w:t>
      </w:r>
      <w:r w:rsidR="00E4579F">
        <w:rPr>
          <w:b/>
          <w:sz w:val="32"/>
          <w:szCs w:val="32"/>
        </w:rPr>
        <w:t>5</w:t>
      </w:r>
      <w:r w:rsidR="00CE3FAA">
        <w:rPr>
          <w:b/>
          <w:sz w:val="32"/>
          <w:szCs w:val="32"/>
        </w:rPr>
        <w:t>г</w:t>
      </w:r>
      <w:r w:rsidR="00DB5574">
        <w:rPr>
          <w:b/>
          <w:sz w:val="32"/>
          <w:szCs w:val="32"/>
        </w:rPr>
        <w:t>.</w:t>
      </w:r>
    </w:p>
    <w:p w:rsidR="00F85D95" w:rsidRPr="00F85D95" w:rsidRDefault="00851C68" w:rsidP="00F85D95">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F85D95" w:rsidRPr="00F85D95">
        <w:rPr>
          <w:sz w:val="28"/>
          <w:szCs w:val="28"/>
        </w:rPr>
        <w:t>облачно. Небольшой снег, местами метели. На</w:t>
      </w:r>
      <w:r w:rsidR="00F85D95">
        <w:rPr>
          <w:sz w:val="28"/>
          <w:szCs w:val="28"/>
        </w:rPr>
        <w:t xml:space="preserve"> дорогах местами гололедица. Ве</w:t>
      </w:r>
      <w:r w:rsidR="00F85D95" w:rsidRPr="00F85D95">
        <w:rPr>
          <w:sz w:val="28"/>
          <w:szCs w:val="28"/>
        </w:rPr>
        <w:t>тер юго-западный 7-11 м/с., порывы до 15-20 м/с.</w:t>
      </w:r>
    </w:p>
    <w:p w:rsidR="007B0647" w:rsidRDefault="00F85D95" w:rsidP="00F85D95">
      <w:pPr>
        <w:tabs>
          <w:tab w:val="left" w:pos="7800"/>
        </w:tabs>
        <w:jc w:val="both"/>
        <w:rPr>
          <w:b/>
          <w:sz w:val="32"/>
          <w:szCs w:val="32"/>
          <w:lang w:eastAsia="ar-SA"/>
        </w:rPr>
      </w:pPr>
      <w:r w:rsidRPr="00F85D95">
        <w:rPr>
          <w:sz w:val="28"/>
          <w:szCs w:val="28"/>
        </w:rPr>
        <w:t xml:space="preserve"> Температура: ночью -3°С -5°С, днем -4°С -6°С.</w:t>
      </w:r>
    </w:p>
    <w:p w:rsidR="00C4079E" w:rsidRPr="0082286E" w:rsidRDefault="00E33036" w:rsidP="001B0441">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11423"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D002AE" w:rsidRPr="00D002AE">
        <w:rPr>
          <w:b/>
          <w:i/>
          <w:sz w:val="28"/>
          <w:szCs w:val="28"/>
        </w:rPr>
        <w:t>(перекал печи),</w:t>
      </w:r>
      <w:r w:rsidR="00F74598" w:rsidRPr="00D002AE">
        <w:rPr>
          <w:sz w:val="28"/>
          <w:szCs w:val="28"/>
        </w:rPr>
        <w:t xml:space="preserve">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F46BE3" w:rsidRPr="00F46BE3" w:rsidRDefault="00F46BE3" w:rsidP="00D002AE">
      <w:pPr>
        <w:tabs>
          <w:tab w:val="left" w:pos="7800"/>
        </w:tabs>
        <w:ind w:firstLine="567"/>
        <w:jc w:val="both"/>
        <w:rPr>
          <w:sz w:val="28"/>
          <w:szCs w:val="28"/>
        </w:rPr>
      </w:pPr>
      <w:r w:rsidRPr="00F46BE3">
        <w:rPr>
          <w:sz w:val="28"/>
          <w:szCs w:val="28"/>
        </w:rPr>
        <w:t>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p>
    <w:p w:rsidR="00987DFF" w:rsidRDefault="00102D67" w:rsidP="00E84F4A">
      <w:pPr>
        <w:tabs>
          <w:tab w:val="left" w:pos="7800"/>
        </w:tabs>
        <w:ind w:firstLine="567"/>
        <w:jc w:val="both"/>
        <w:rPr>
          <w:b/>
          <w:bCs/>
          <w:sz w:val="28"/>
          <w:szCs w:val="28"/>
        </w:rPr>
      </w:pPr>
      <w:r w:rsidRPr="00822197">
        <w:rPr>
          <w:bCs/>
          <w:sz w:val="28"/>
          <w:szCs w:val="28"/>
        </w:rPr>
        <w:lastRenderedPageBreak/>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E1674" w:rsidRDefault="00102D67" w:rsidP="0020550D">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7B0647" w:rsidRPr="007B0647">
        <w:rPr>
          <w:b/>
          <w:sz w:val="28"/>
          <w:szCs w:val="28"/>
        </w:rPr>
        <w:t>(снег, временами сильный, метели, усиление ветра до 15-20 м/с., на дорогах местами сне</w:t>
      </w:r>
      <w:r w:rsidR="0029126E">
        <w:rPr>
          <w:b/>
          <w:sz w:val="28"/>
          <w:szCs w:val="28"/>
        </w:rPr>
        <w:t>жные заносы, сильная гололедица</w:t>
      </w:r>
      <w:r w:rsidR="007B0647" w:rsidRPr="007B0647">
        <w:rPr>
          <w:b/>
          <w:sz w:val="28"/>
          <w:szCs w:val="28"/>
        </w:rPr>
        <w:t>)</w:t>
      </w:r>
      <w:r w:rsidR="00E4579F" w:rsidRPr="00E4579F">
        <w:rPr>
          <w:b/>
          <w:i/>
          <w:sz w:val="28"/>
          <w:szCs w:val="28"/>
        </w:rPr>
        <w:t xml:space="preserve"> </w:t>
      </w:r>
      <w:r w:rsidR="00E4579F" w:rsidRPr="00E4579F">
        <w:rPr>
          <w:sz w:val="28"/>
          <w:szCs w:val="28"/>
        </w:rPr>
        <w:t>возможно</w:t>
      </w:r>
      <w:r w:rsidR="001E1674" w:rsidRPr="001E1674">
        <w:rPr>
          <w:sz w:val="28"/>
          <w:szCs w:val="28"/>
        </w:rPr>
        <w:t xml:space="preserve"> увеличение количества дорожно-транспортных происшествий</w:t>
      </w:r>
      <w:r w:rsidR="001E1674">
        <w:t xml:space="preserve">. </w:t>
      </w:r>
      <w:r w:rsidR="001E1674">
        <w:rPr>
          <w:b/>
          <w:i/>
          <w:sz w:val="28"/>
          <w:szCs w:val="28"/>
        </w:rPr>
        <w:t xml:space="preserve"> </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7B0647">
        <w:rPr>
          <w:b/>
          <w:sz w:val="32"/>
          <w:szCs w:val="32"/>
        </w:rPr>
        <w:t xml:space="preserve"> ТЭК и</w:t>
      </w:r>
      <w:r w:rsidR="00D40329" w:rsidRPr="00D40329">
        <w:rPr>
          <w:b/>
          <w:sz w:val="32"/>
          <w:szCs w:val="32"/>
        </w:rPr>
        <w:t xml:space="preserve"> </w:t>
      </w:r>
      <w:r w:rsidRPr="007B6B30">
        <w:rPr>
          <w:b/>
          <w:sz w:val="32"/>
          <w:szCs w:val="32"/>
        </w:rPr>
        <w:t xml:space="preserve">ЖКХ. </w:t>
      </w:r>
    </w:p>
    <w:p w:rsidR="00980B4C" w:rsidRDefault="00611423"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w:t>
      </w:r>
      <w:r w:rsidR="001E1674">
        <w:rPr>
          <w:sz w:val="28"/>
          <w:szCs w:val="28"/>
        </w:rPr>
        <w:t xml:space="preserve"> и</w:t>
      </w:r>
      <w:r w:rsidR="00980B4C" w:rsidRPr="0027052F">
        <w:rPr>
          <w:sz w:val="28"/>
          <w:szCs w:val="28"/>
        </w:rPr>
        <w:t xml:space="preserve"> тепловых </w:t>
      </w:r>
      <w:r w:rsidR="00980B4C">
        <w:rPr>
          <w:sz w:val="28"/>
          <w:szCs w:val="28"/>
        </w:rPr>
        <w:t>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r w:rsidR="00F85D95">
        <w:rPr>
          <w:sz w:val="28"/>
          <w:szCs w:val="28"/>
        </w:rPr>
        <w:t>.</w:t>
      </w:r>
    </w:p>
    <w:p w:rsidR="00611423" w:rsidRPr="00031271" w:rsidRDefault="00611423" w:rsidP="00611423">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11423" w:rsidRDefault="00611423" w:rsidP="00611423">
      <w:pPr>
        <w:tabs>
          <w:tab w:val="left" w:pos="567"/>
        </w:tabs>
        <w:suppressAutoHyphens/>
        <w:ind w:firstLine="708"/>
        <w:jc w:val="both"/>
        <w:rPr>
          <w:bCs/>
          <w:sz w:val="28"/>
          <w:szCs w:val="28"/>
        </w:rPr>
      </w:pPr>
      <w:r w:rsidRPr="007B0647">
        <w:rPr>
          <w:sz w:val="28"/>
          <w:szCs w:val="28"/>
        </w:rPr>
        <w:t>В связи с прогнозируемыми погодными</w:t>
      </w:r>
      <w:r w:rsidRPr="00F85D95">
        <w:rPr>
          <w:sz w:val="28"/>
          <w:szCs w:val="28"/>
        </w:rPr>
        <w:t xml:space="preserve"> условиями</w:t>
      </w:r>
      <w:r w:rsidRPr="007B0647">
        <w:rPr>
          <w:b/>
          <w:i/>
          <w:sz w:val="28"/>
          <w:szCs w:val="28"/>
        </w:rPr>
        <w:t xml:space="preserve"> </w:t>
      </w:r>
      <w:r w:rsidR="007B0647" w:rsidRPr="007B0647">
        <w:rPr>
          <w:b/>
          <w:sz w:val="28"/>
          <w:szCs w:val="28"/>
        </w:rPr>
        <w:t xml:space="preserve">(снег, временами сильный, </w:t>
      </w:r>
      <w:r w:rsidR="00F85D95">
        <w:rPr>
          <w:b/>
          <w:sz w:val="28"/>
          <w:szCs w:val="28"/>
        </w:rPr>
        <w:t>усиление ветра до 15-20 м/с)</w:t>
      </w:r>
      <w:r w:rsidR="007B0647" w:rsidRPr="007B0647">
        <w:rPr>
          <w:b/>
          <w:sz w:val="28"/>
          <w:szCs w:val="28"/>
        </w:rPr>
        <w:t xml:space="preserve">, </w:t>
      </w:r>
      <w:r w:rsidRPr="00F85D95">
        <w:rPr>
          <w:sz w:val="28"/>
          <w:szCs w:val="28"/>
        </w:rPr>
        <w:t>на всей территории</w:t>
      </w:r>
      <w:r w:rsidRPr="00031271">
        <w:rPr>
          <w:sz w:val="28"/>
          <w:szCs w:val="28"/>
        </w:rPr>
        <w:t xml:space="preserve"> района возможны аварии на трансформаторных подстанциях, </w:t>
      </w:r>
      <w:r w:rsidR="001E1674" w:rsidRPr="001E1674">
        <w:rPr>
          <w:sz w:val="28"/>
          <w:szCs w:val="28"/>
        </w:rPr>
        <w:t xml:space="preserve">налипание мокрого снега и образование гололёдных явлений на электропроводах, </w:t>
      </w:r>
      <w:r w:rsidRPr="00031271">
        <w:rPr>
          <w:sz w:val="28"/>
          <w:szCs w:val="28"/>
        </w:rPr>
        <w:t>обрывы (повреждения) линий электропередач и линий связи, массовые короткие замыкания в частном секторе</w:t>
      </w:r>
      <w:r w:rsidR="001E1674">
        <w:rPr>
          <w:sz w:val="28"/>
          <w:szCs w:val="28"/>
        </w:rPr>
        <w:t xml:space="preserve"> и другие </w:t>
      </w:r>
      <w:r w:rsidRPr="00031271">
        <w:rPr>
          <w:sz w:val="28"/>
          <w:szCs w:val="28"/>
        </w:rPr>
        <w:t>поражения объектов электроэнергетики.</w:t>
      </w:r>
      <w:r w:rsidRPr="00031271">
        <w:rPr>
          <w:bCs/>
          <w:sz w:val="28"/>
          <w:szCs w:val="28"/>
        </w:rPr>
        <w:t xml:space="preserve"> </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1E1674" w:rsidRPr="00F85D95" w:rsidRDefault="001E1674" w:rsidP="00F85D95">
      <w:pPr>
        <w:tabs>
          <w:tab w:val="left" w:pos="567"/>
        </w:tabs>
        <w:suppressAutoHyphens/>
        <w:jc w:val="both"/>
        <w:rPr>
          <w:b/>
          <w:sz w:val="28"/>
          <w:szCs w:val="28"/>
        </w:rPr>
      </w:pPr>
      <w:r>
        <w:rPr>
          <w:b/>
          <w:sz w:val="32"/>
          <w:szCs w:val="32"/>
        </w:rPr>
        <w:t xml:space="preserve"> </w:t>
      </w:r>
      <w:r w:rsidRPr="001E1674">
        <w:rPr>
          <w:b/>
          <w:sz w:val="32"/>
          <w:szCs w:val="32"/>
        </w:rPr>
        <w:t>7</w:t>
      </w:r>
      <w:r>
        <w:rPr>
          <w:b/>
          <w:sz w:val="32"/>
          <w:szCs w:val="32"/>
        </w:rPr>
        <w:t xml:space="preserve">. </w:t>
      </w:r>
      <w:r w:rsidRPr="001E1674">
        <w:rPr>
          <w:b/>
          <w:sz w:val="32"/>
          <w:szCs w:val="32"/>
        </w:rPr>
        <w:t xml:space="preserve">Вероятность риска обрушений (повреждений) зданий и сооружений. </w:t>
      </w:r>
      <w:r w:rsidRPr="00F85D95">
        <w:rPr>
          <w:sz w:val="28"/>
          <w:szCs w:val="28"/>
        </w:rPr>
        <w:t xml:space="preserve">В связи с погодными условиями </w:t>
      </w:r>
      <w:r w:rsidR="00F85D95" w:rsidRPr="00F85D95">
        <w:rPr>
          <w:b/>
          <w:sz w:val="28"/>
          <w:szCs w:val="28"/>
        </w:rPr>
        <w:t>(снег, временами сильный, усиление ветра</w:t>
      </w:r>
      <w:r w:rsidR="00F85D95">
        <w:rPr>
          <w:b/>
          <w:sz w:val="28"/>
          <w:szCs w:val="28"/>
        </w:rPr>
        <w:t xml:space="preserve"> </w:t>
      </w:r>
      <w:r w:rsidR="00F85D95" w:rsidRPr="00F85D95">
        <w:rPr>
          <w:b/>
          <w:sz w:val="28"/>
          <w:szCs w:val="28"/>
        </w:rPr>
        <w:t>до 15-20 м/с),</w:t>
      </w:r>
      <w:r w:rsidRPr="00F85D95">
        <w:rPr>
          <w:b/>
          <w:sz w:val="28"/>
          <w:szCs w:val="28"/>
        </w:rPr>
        <w:t xml:space="preserve"> </w:t>
      </w:r>
      <w:r w:rsidRPr="00F85D95">
        <w:rPr>
          <w:sz w:val="28"/>
          <w:szCs w:val="28"/>
        </w:rPr>
        <w:t>в</w:t>
      </w:r>
      <w:r w:rsidRPr="00F85D95">
        <w:rPr>
          <w:b/>
          <w:sz w:val="28"/>
          <w:szCs w:val="28"/>
        </w:rPr>
        <w:t xml:space="preserve"> Усть-Пристанском </w:t>
      </w:r>
      <w:r w:rsidR="00F46BE3" w:rsidRPr="00F85D95">
        <w:rPr>
          <w:b/>
          <w:sz w:val="28"/>
          <w:szCs w:val="28"/>
        </w:rPr>
        <w:t xml:space="preserve">районе </w:t>
      </w:r>
      <w:r w:rsidR="00F46BE3" w:rsidRPr="00F85D95">
        <w:rPr>
          <w:sz w:val="28"/>
          <w:szCs w:val="28"/>
        </w:rPr>
        <w:t>возможны</w:t>
      </w:r>
      <w:r w:rsidRPr="00F85D95">
        <w:rPr>
          <w:sz w:val="28"/>
          <w:szCs w:val="28"/>
        </w:rPr>
        <w:t xml:space="preserve">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 Наиболее неблагоприятная обстановка может сложиться в</w:t>
      </w:r>
      <w:r w:rsidRPr="00F85D95">
        <w:rPr>
          <w:b/>
          <w:bCs/>
          <w:sz w:val="28"/>
          <w:szCs w:val="28"/>
        </w:rPr>
        <w:t xml:space="preserve"> с. Усть-Чарышская Пристань и с. Коробейниково.</w:t>
      </w:r>
      <w:r w:rsidRPr="00F85D95">
        <w:rPr>
          <w:b/>
          <w:sz w:val="28"/>
          <w:szCs w:val="28"/>
        </w:rPr>
        <w:t xml:space="preserve"> </w:t>
      </w:r>
    </w:p>
    <w:p w:rsidR="00775BC0" w:rsidRDefault="00E13276" w:rsidP="00775BC0">
      <w:pPr>
        <w:tabs>
          <w:tab w:val="left" w:pos="7800"/>
        </w:tabs>
        <w:jc w:val="both"/>
        <w:rPr>
          <w:b/>
          <w:sz w:val="32"/>
          <w:szCs w:val="32"/>
        </w:rPr>
      </w:pPr>
      <w:bookmarkStart w:id="1" w:name="_GoBack"/>
      <w:bookmarkEnd w:id="1"/>
      <w:r>
        <w:rPr>
          <w:b/>
          <w:sz w:val="32"/>
          <w:szCs w:val="32"/>
        </w:rPr>
        <w:t xml:space="preserve">      </w:t>
      </w:r>
      <w:r w:rsidR="002E32B4">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2E32B4">
        <w:rPr>
          <w:b/>
          <w:sz w:val="32"/>
          <w:szCs w:val="32"/>
        </w:rPr>
        <w:t>9</w:t>
      </w:r>
      <w:r w:rsidR="00804776" w:rsidRPr="00804776">
        <w:rPr>
          <w:b/>
          <w:sz w:val="32"/>
          <w:szCs w:val="32"/>
        </w:rPr>
        <w:t>. Геомагнитная обстановка.</w:t>
      </w:r>
      <w:r w:rsidR="00804776">
        <w:t xml:space="preserve"> </w:t>
      </w:r>
    </w:p>
    <w:p w:rsidR="00734F60" w:rsidRPr="001E1674" w:rsidRDefault="00A4669C" w:rsidP="001E1674">
      <w:pPr>
        <w:pStyle w:val="Standard"/>
        <w:jc w:val="both"/>
        <w:rPr>
          <w:sz w:val="28"/>
          <w:szCs w:val="28"/>
        </w:rPr>
      </w:pPr>
      <w:r>
        <w:rPr>
          <w:sz w:val="28"/>
          <w:szCs w:val="28"/>
        </w:rPr>
        <w:lastRenderedPageBreak/>
        <w:t xml:space="preserve">       </w:t>
      </w:r>
      <w:r w:rsidR="00804776" w:rsidRPr="00804776">
        <w:rPr>
          <w:sz w:val="28"/>
          <w:szCs w:val="28"/>
        </w:rPr>
        <w:t>Геомагнитная обстановка от спокойной до слабовозмущенной.</w:t>
      </w:r>
      <w:r w:rsidR="001E1674">
        <w:rPr>
          <w:sz w:val="28"/>
          <w:szCs w:val="28"/>
        </w:rPr>
        <w:t xml:space="preserve"> </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lastRenderedPageBreak/>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2E32B4" w:rsidRPr="00F85D95" w:rsidRDefault="002E32B4" w:rsidP="002E32B4">
      <w:pPr>
        <w:tabs>
          <w:tab w:val="left" w:pos="720"/>
        </w:tabs>
        <w:jc w:val="both"/>
        <w:rPr>
          <w:sz w:val="32"/>
          <w:szCs w:val="32"/>
        </w:rPr>
      </w:pPr>
      <w:r w:rsidRPr="00F85D95">
        <w:rPr>
          <w:sz w:val="32"/>
          <w:szCs w:val="32"/>
        </w:rPr>
        <w:t xml:space="preserve">     </w:t>
      </w:r>
      <w:r w:rsidRPr="00F85D95">
        <w:rPr>
          <w:b/>
          <w:sz w:val="32"/>
          <w:szCs w:val="32"/>
        </w:rPr>
        <w:t>5. По риску обрушений (повреждений) зданий и сооружений.</w:t>
      </w:r>
      <w:r w:rsidRPr="00F85D95">
        <w:rPr>
          <w:sz w:val="32"/>
          <w:szCs w:val="32"/>
        </w:rPr>
        <w:t xml:space="preserve"> </w:t>
      </w:r>
    </w:p>
    <w:p w:rsidR="002E32B4" w:rsidRPr="002E32B4" w:rsidRDefault="002E32B4" w:rsidP="002E32B4">
      <w:pPr>
        <w:tabs>
          <w:tab w:val="left" w:pos="720"/>
        </w:tabs>
        <w:jc w:val="both"/>
        <w:rPr>
          <w:sz w:val="28"/>
          <w:szCs w:val="28"/>
        </w:rPr>
      </w:pPr>
      <w:r w:rsidRPr="002E32B4">
        <w:rPr>
          <w:sz w:val="28"/>
          <w:szCs w:val="28"/>
        </w:rPr>
        <w:tab/>
        <w:t>-организовано оповещение и информирование населения через местную газету «Авангард</w:t>
      </w:r>
      <w:r w:rsidR="00903E8A">
        <w:rPr>
          <w:sz w:val="28"/>
          <w:szCs w:val="28"/>
        </w:rPr>
        <w:t>» и интернет-ресурсы</w:t>
      </w:r>
      <w:r w:rsidRPr="002E32B4">
        <w:rPr>
          <w:sz w:val="28"/>
          <w:szCs w:val="28"/>
        </w:rPr>
        <w:t xml:space="preserve">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2E32B4" w:rsidRPr="002E32B4" w:rsidRDefault="002E32B4" w:rsidP="002E32B4">
      <w:pPr>
        <w:tabs>
          <w:tab w:val="left" w:pos="720"/>
        </w:tabs>
        <w:jc w:val="both"/>
        <w:rPr>
          <w:sz w:val="28"/>
          <w:szCs w:val="28"/>
        </w:rPr>
      </w:pPr>
      <w:r w:rsidRPr="002E32B4">
        <w:rPr>
          <w:sz w:val="28"/>
          <w:szCs w:val="28"/>
        </w:rPr>
        <w:tab/>
        <w:t xml:space="preserve">-на территории Усть-Пристанского района проверено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D002AE" w:rsidRDefault="002E32B4" w:rsidP="002E32B4">
      <w:pPr>
        <w:tabs>
          <w:tab w:val="left" w:pos="720"/>
        </w:tabs>
        <w:jc w:val="both"/>
        <w:rPr>
          <w:b/>
          <w:bCs/>
          <w:sz w:val="32"/>
          <w:szCs w:val="32"/>
        </w:rPr>
      </w:pPr>
      <w:r w:rsidRPr="002E32B4">
        <w:rPr>
          <w:sz w:val="28"/>
          <w:szCs w:val="28"/>
        </w:rPr>
        <w:lastRenderedPageBreak/>
        <w:tab/>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r w:rsidR="00077902">
        <w:rPr>
          <w:b/>
          <w:bCs/>
          <w:sz w:val="32"/>
          <w:szCs w:val="32"/>
        </w:rPr>
        <w:t xml:space="preserve">   </w:t>
      </w:r>
    </w:p>
    <w:p w:rsidR="00903E8A" w:rsidRPr="00F85D95" w:rsidRDefault="00903E8A" w:rsidP="00903E8A">
      <w:pPr>
        <w:tabs>
          <w:tab w:val="left" w:pos="720"/>
        </w:tabs>
        <w:jc w:val="both"/>
        <w:rPr>
          <w:bCs/>
          <w:sz w:val="28"/>
          <w:szCs w:val="28"/>
        </w:rPr>
      </w:pPr>
      <w:r w:rsidRPr="00F85D95">
        <w:rPr>
          <w:bCs/>
          <w:sz w:val="28"/>
          <w:szCs w:val="28"/>
        </w:rPr>
        <w:t>-организована своевременная уборка снежных масс с крыш строений во</w:t>
      </w:r>
      <w:r w:rsidR="00F85D95">
        <w:rPr>
          <w:bCs/>
          <w:sz w:val="28"/>
          <w:szCs w:val="28"/>
        </w:rPr>
        <w:t xml:space="preserve"> </w:t>
      </w:r>
      <w:r w:rsidRPr="00F85D95">
        <w:rPr>
          <w:bCs/>
          <w:sz w:val="28"/>
          <w:szCs w:val="28"/>
        </w:rPr>
        <w:t>избежание обрушения кровли и травмирования людей, а также повреждения имущества из-за схода снежных и ледяных масс.</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FC2669">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Default="004A668C" w:rsidP="00F771DD">
      <w:pPr>
        <w:pStyle w:val="a7"/>
        <w:autoSpaceDE w:val="0"/>
        <w:autoSpaceDN w:val="0"/>
        <w:adjustRightInd w:val="0"/>
        <w:ind w:left="0"/>
        <w:jc w:val="both"/>
        <w:rPr>
          <w:rFonts w:ascii="Times New Roman" w:hAnsi="Times New Roman"/>
          <w:sz w:val="28"/>
          <w:szCs w:val="28"/>
        </w:rPr>
      </w:pPr>
      <w:r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F85D95">
        <w:rPr>
          <w:rFonts w:ascii="Times New Roman" w:eastAsia="Calibri" w:hAnsi="Times New Roman"/>
          <w:sz w:val="28"/>
          <w:szCs w:val="28"/>
        </w:rPr>
        <w:t>10</w:t>
      </w:r>
      <w:r w:rsidR="007D3BDA">
        <w:rPr>
          <w:rFonts w:ascii="Times New Roman" w:eastAsia="Calibri" w:hAnsi="Times New Roman"/>
          <w:sz w:val="28"/>
          <w:szCs w:val="28"/>
        </w:rPr>
        <w:t>.</w:t>
      </w:r>
      <w:r w:rsidR="00E4579F">
        <w:rPr>
          <w:rFonts w:ascii="Times New Roman" w:eastAsia="Calibri" w:hAnsi="Times New Roman"/>
          <w:sz w:val="28"/>
          <w:szCs w:val="28"/>
        </w:rPr>
        <w:t>01</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F85D95">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7B0647">
        <w:rPr>
          <w:rFonts w:ascii="Times New Roman" w:eastAsia="Calibri" w:hAnsi="Times New Roman"/>
          <w:sz w:val="28"/>
          <w:szCs w:val="28"/>
        </w:rPr>
        <w:t>3</w:t>
      </w:r>
      <w:r w:rsidR="00F85D95">
        <w:rPr>
          <w:rFonts w:ascii="Times New Roman" w:eastAsia="Calibri" w:hAnsi="Times New Roman"/>
          <w:sz w:val="28"/>
          <w:szCs w:val="28"/>
        </w:rPr>
        <w:t>4</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F85D95">
        <w:rPr>
          <w:rFonts w:ascii="Times New Roman" w:hAnsi="Times New Roman"/>
          <w:sz w:val="28"/>
          <w:szCs w:val="28"/>
        </w:rPr>
        <w:t>Л.А. Морозкиной.</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F85D95">
        <w:rPr>
          <w:rFonts w:ascii="Times New Roman" w:eastAsia="Calibri" w:hAnsi="Times New Roman"/>
          <w:sz w:val="28"/>
          <w:szCs w:val="28"/>
        </w:rPr>
        <w:t>10</w:t>
      </w:r>
      <w:r w:rsidR="00E4579F" w:rsidRPr="00E4579F">
        <w:rPr>
          <w:rFonts w:ascii="Times New Roman" w:eastAsia="Calibri" w:hAnsi="Times New Roman"/>
          <w:sz w:val="28"/>
          <w:szCs w:val="28"/>
        </w:rPr>
        <w:t>.01.2025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F85D95">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F85D95">
        <w:rPr>
          <w:rFonts w:ascii="Times New Roman" w:hAnsi="Times New Roman"/>
          <w:color w:val="000000"/>
          <w:sz w:val="28"/>
          <w:szCs w:val="28"/>
        </w:rPr>
        <w:t>45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5D95" w:rsidRPr="00F85D95" w:rsidRDefault="00F85D95" w:rsidP="00F85D95">
      <w:pPr>
        <w:jc w:val="both"/>
        <w:rPr>
          <w:noProof/>
          <w:sz w:val="28"/>
          <w:szCs w:val="28"/>
        </w:rPr>
      </w:pPr>
      <w:r>
        <w:rPr>
          <w:noProof/>
          <w:sz w:val="28"/>
          <w:szCs w:val="28"/>
        </w:rPr>
        <w:drawing>
          <wp:anchor distT="0" distB="0" distL="114300" distR="114300" simplePos="0" relativeHeight="251659776" behindDoc="0" locked="0" layoutInCell="1" allowOverlap="1" wp14:anchorId="79C328D0" wp14:editId="4F01A514">
            <wp:simplePos x="0" y="0"/>
            <wp:positionH relativeFrom="column">
              <wp:posOffset>3392496</wp:posOffset>
            </wp:positionH>
            <wp:positionV relativeFrom="paragraph">
              <wp:posOffset>7620</wp:posOffset>
            </wp:positionV>
            <wp:extent cx="703106" cy="669851"/>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998" cy="675465"/>
                    </a:xfrm>
                    <a:prstGeom prst="rect">
                      <a:avLst/>
                    </a:prstGeom>
                    <a:noFill/>
                  </pic:spPr>
                </pic:pic>
              </a:graphicData>
            </a:graphic>
            <wp14:sizeRelH relativeFrom="page">
              <wp14:pctWidth>0</wp14:pctWidth>
            </wp14:sizeRelH>
            <wp14:sizeRelV relativeFrom="page">
              <wp14:pctHeight>0</wp14:pctHeight>
            </wp14:sizeRelV>
          </wp:anchor>
        </w:drawing>
      </w:r>
      <w:r w:rsidRPr="00F85D95">
        <w:rPr>
          <w:noProof/>
          <w:sz w:val="28"/>
          <w:szCs w:val="28"/>
        </w:rPr>
        <w:t>Начальник ЕДДС Администрации</w:t>
      </w:r>
      <w:r w:rsidRPr="00F85D95">
        <w:rPr>
          <w:noProof/>
          <w:sz w:val="28"/>
          <w:szCs w:val="28"/>
        </w:rPr>
        <w:tab/>
      </w:r>
    </w:p>
    <w:p w:rsidR="00D50568" w:rsidRPr="00F85D95" w:rsidRDefault="00F85D95" w:rsidP="00F85D95">
      <w:pPr>
        <w:jc w:val="both"/>
        <w:rPr>
          <w:sz w:val="28"/>
          <w:szCs w:val="28"/>
        </w:rPr>
      </w:pPr>
      <w:r w:rsidRPr="00F85D95">
        <w:rPr>
          <w:noProof/>
          <w:sz w:val="28"/>
          <w:szCs w:val="28"/>
        </w:rPr>
        <w:drawing>
          <wp:anchor distT="0" distB="0" distL="114300" distR="114300" simplePos="0" relativeHeight="251658752" behindDoc="0" locked="0" layoutInCell="1" allowOverlap="1" wp14:anchorId="59DF75B3" wp14:editId="6CB3429E">
            <wp:simplePos x="0" y="0"/>
            <wp:positionH relativeFrom="column">
              <wp:posOffset>3754120</wp:posOffset>
            </wp:positionH>
            <wp:positionV relativeFrom="paragraph">
              <wp:posOffset>8797290</wp:posOffset>
            </wp:positionV>
            <wp:extent cx="786765" cy="75501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3">
                      <a:extLst>
                        <a:ext uri="{28A0092B-C50C-407E-A947-70E740481C1C}">
                          <a14:useLocalDpi xmlns:a14="http://schemas.microsoft.com/office/drawing/2010/main" val="0"/>
                        </a:ext>
                      </a:extLst>
                    </a:blip>
                    <a:srcRect l="21339" t="37155" r="17500" b="29657"/>
                    <a:stretch>
                      <a:fillRect/>
                    </a:stretch>
                  </pic:blipFill>
                  <pic:spPr bwMode="auto">
                    <a:xfrm>
                      <a:off x="0" y="0"/>
                      <a:ext cx="786765" cy="755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D95">
        <w:rPr>
          <w:noProof/>
          <w:sz w:val="28"/>
          <w:szCs w:val="28"/>
        </w:rPr>
        <w:t xml:space="preserve">Усть-Пристанского    района                                            </w:t>
      </w:r>
      <w:r w:rsidRPr="00F85D95">
        <w:rPr>
          <w:noProof/>
          <w:sz w:val="28"/>
          <w:szCs w:val="28"/>
        </w:rPr>
        <w:t xml:space="preserve">                        Л.А. Мо</w:t>
      </w:r>
      <w:r w:rsidRPr="00F85D95">
        <w:rPr>
          <w:noProof/>
          <w:sz w:val="28"/>
          <w:szCs w:val="28"/>
        </w:rPr>
        <w:t xml:space="preserve">розкина            </w:t>
      </w:r>
    </w:p>
    <w:sectPr w:rsidR="00D50568" w:rsidRPr="00F85D95"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3C0" w:rsidRDefault="006F33C0" w:rsidP="002E73CB">
      <w:r>
        <w:separator/>
      </w:r>
    </w:p>
  </w:endnote>
  <w:endnote w:type="continuationSeparator" w:id="0">
    <w:p w:rsidR="006F33C0" w:rsidRDefault="006F33C0"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3C0" w:rsidRDefault="006F33C0" w:rsidP="002E73CB">
      <w:r>
        <w:separator/>
      </w:r>
    </w:p>
  </w:footnote>
  <w:footnote w:type="continuationSeparator" w:id="0">
    <w:p w:rsidR="006F33C0" w:rsidRDefault="006F33C0"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26E"/>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3C0"/>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0647"/>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5D95"/>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F6668C4"/>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D0E6B-A8F3-4C1B-9CE6-96432BDC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5</Pages>
  <Words>1928</Words>
  <Characters>10990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12893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125</cp:revision>
  <cp:lastPrinted>2020-02-17T08:10:00Z</cp:lastPrinted>
  <dcterms:created xsi:type="dcterms:W3CDTF">2023-04-11T07:20:00Z</dcterms:created>
  <dcterms:modified xsi:type="dcterms:W3CDTF">2025-01-10T08:40:00Z</dcterms:modified>
</cp:coreProperties>
</file>